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DBAF4" w14:textId="1114E88B" w:rsidR="00EF6D2C" w:rsidRPr="00EF6D2C" w:rsidRDefault="00E8730B" w:rsidP="00EF6D2C">
      <w:pPr>
        <w:spacing w:after="0" w:line="240" w:lineRule="auto"/>
        <w:jc w:val="center"/>
        <w:rPr>
          <w:rFonts w:ascii="Times New Roman" w:hAnsi="Times New Roman" w:cs="Times New Roman"/>
          <w:b/>
          <w:sz w:val="24"/>
          <w:szCs w:val="24"/>
        </w:rPr>
      </w:pPr>
      <w:r w:rsidRPr="00EF6D2C">
        <w:rPr>
          <w:rFonts w:ascii="Times New Roman" w:hAnsi="Times New Roman" w:cs="Times New Roman"/>
          <w:b/>
          <w:sz w:val="24"/>
          <w:szCs w:val="24"/>
        </w:rPr>
        <w:t>Digital Formative Assessment for Maritime Vocabulary Learning: Evidence from Google Forms</w:t>
      </w:r>
    </w:p>
    <w:p w14:paraId="6397988C" w14:textId="77777777" w:rsidR="00EF6D2C" w:rsidRPr="00EF6D2C" w:rsidRDefault="00EF6D2C" w:rsidP="00EF6D2C">
      <w:pPr>
        <w:spacing w:after="0" w:line="240" w:lineRule="auto"/>
        <w:jc w:val="center"/>
        <w:rPr>
          <w:rFonts w:ascii="Times New Roman" w:hAnsi="Times New Roman" w:cs="Times New Roman"/>
          <w:b/>
          <w:sz w:val="24"/>
          <w:szCs w:val="24"/>
        </w:rPr>
      </w:pPr>
    </w:p>
    <w:p w14:paraId="4889F7E9" w14:textId="77777777" w:rsidR="00EF6D2C" w:rsidRPr="00EF6D2C" w:rsidRDefault="00EF6D2C" w:rsidP="00EF6D2C">
      <w:pPr>
        <w:spacing w:after="0" w:line="240" w:lineRule="auto"/>
        <w:jc w:val="center"/>
        <w:rPr>
          <w:rFonts w:ascii="Times New Roman" w:hAnsi="Times New Roman" w:cs="Times New Roman"/>
          <w:b/>
          <w:bCs/>
          <w:sz w:val="24"/>
          <w:szCs w:val="24"/>
        </w:rPr>
      </w:pPr>
      <w:proofErr w:type="spellStart"/>
      <w:r w:rsidRPr="00EF6D2C">
        <w:rPr>
          <w:rFonts w:ascii="Times New Roman" w:hAnsi="Times New Roman" w:cs="Times New Roman"/>
          <w:b/>
          <w:bCs/>
          <w:sz w:val="24"/>
          <w:szCs w:val="24"/>
        </w:rPr>
        <w:t>Lilik</w:t>
      </w:r>
      <w:proofErr w:type="spellEnd"/>
      <w:r w:rsidRPr="00EF6D2C">
        <w:rPr>
          <w:rFonts w:ascii="Times New Roman" w:hAnsi="Times New Roman" w:cs="Times New Roman"/>
          <w:b/>
          <w:bCs/>
          <w:sz w:val="24"/>
          <w:szCs w:val="24"/>
        </w:rPr>
        <w:t xml:space="preserve"> Yulianingsih</w:t>
      </w:r>
    </w:p>
    <w:p w14:paraId="6F5C1E7E" w14:textId="06D24418" w:rsidR="00EF6D2C" w:rsidRPr="00EF6D2C" w:rsidRDefault="00EF6D2C" w:rsidP="00EF6D2C">
      <w:pPr>
        <w:spacing w:after="0" w:line="240" w:lineRule="auto"/>
        <w:jc w:val="center"/>
        <w:rPr>
          <w:rFonts w:ascii="Times New Roman" w:hAnsi="Times New Roman" w:cs="Times New Roman"/>
          <w:sz w:val="24"/>
          <w:szCs w:val="24"/>
          <w:u w:val="single"/>
        </w:rPr>
      </w:pPr>
      <w:r w:rsidRPr="00EF6D2C">
        <w:rPr>
          <w:rFonts w:ascii="Times New Roman" w:hAnsi="Times New Roman" w:cs="Times New Roman"/>
          <w:sz w:val="24"/>
          <w:szCs w:val="24"/>
          <w:u w:val="single"/>
        </w:rPr>
        <w:t>lilikyulia05@gmail.com</w:t>
      </w:r>
    </w:p>
    <w:p w14:paraId="29905D1F" w14:textId="3A65D6D6" w:rsidR="00EF6D2C" w:rsidRPr="00EF6D2C" w:rsidRDefault="00EF6D2C" w:rsidP="00EF6D2C">
      <w:pPr>
        <w:spacing w:after="0" w:line="240" w:lineRule="auto"/>
        <w:jc w:val="center"/>
        <w:rPr>
          <w:rFonts w:ascii="Times New Roman" w:hAnsi="Times New Roman" w:cs="Times New Roman"/>
          <w:b/>
          <w:bCs/>
          <w:sz w:val="24"/>
          <w:szCs w:val="24"/>
        </w:rPr>
      </w:pPr>
      <w:proofErr w:type="spellStart"/>
      <w:r w:rsidRPr="00EF6D2C">
        <w:rPr>
          <w:rFonts w:ascii="Times New Roman" w:hAnsi="Times New Roman" w:cs="Times New Roman"/>
          <w:b/>
          <w:bCs/>
          <w:sz w:val="24"/>
          <w:szCs w:val="24"/>
        </w:rPr>
        <w:t>Politeknik</w:t>
      </w:r>
      <w:proofErr w:type="spellEnd"/>
      <w:r w:rsidRPr="00EF6D2C">
        <w:rPr>
          <w:rFonts w:ascii="Times New Roman" w:hAnsi="Times New Roman" w:cs="Times New Roman"/>
          <w:b/>
          <w:bCs/>
          <w:sz w:val="24"/>
          <w:szCs w:val="24"/>
        </w:rPr>
        <w:t xml:space="preserve"> Pelayaran Sorong</w:t>
      </w:r>
    </w:p>
    <w:p w14:paraId="577A941C" w14:textId="77777777" w:rsidR="00EF6D2C" w:rsidRPr="00EF6D2C" w:rsidRDefault="00EF6D2C" w:rsidP="00EF6D2C">
      <w:pPr>
        <w:spacing w:after="0" w:line="240" w:lineRule="auto"/>
        <w:jc w:val="center"/>
        <w:rPr>
          <w:rFonts w:ascii="Times New Roman" w:hAnsi="Times New Roman" w:cs="Times New Roman"/>
          <w:sz w:val="24"/>
          <w:szCs w:val="24"/>
        </w:rPr>
      </w:pPr>
    </w:p>
    <w:p w14:paraId="225125A3" w14:textId="1490EBBD" w:rsidR="00EF6D2C" w:rsidRPr="00EF6D2C" w:rsidRDefault="00EF6D2C" w:rsidP="00EF6D2C">
      <w:pPr>
        <w:spacing w:after="0" w:line="240" w:lineRule="auto"/>
        <w:jc w:val="center"/>
        <w:rPr>
          <w:rFonts w:ascii="Times New Roman" w:hAnsi="Times New Roman" w:cs="Times New Roman"/>
          <w:b/>
          <w:bCs/>
          <w:sz w:val="24"/>
          <w:szCs w:val="24"/>
        </w:rPr>
      </w:pPr>
      <w:proofErr w:type="spellStart"/>
      <w:r w:rsidRPr="00EF6D2C">
        <w:rPr>
          <w:rFonts w:ascii="Times New Roman" w:hAnsi="Times New Roman" w:cs="Times New Roman"/>
          <w:b/>
          <w:bCs/>
          <w:sz w:val="24"/>
          <w:szCs w:val="24"/>
        </w:rPr>
        <w:t>Isnaini</w:t>
      </w:r>
      <w:proofErr w:type="spellEnd"/>
      <w:r w:rsidRPr="00EF6D2C">
        <w:rPr>
          <w:rFonts w:ascii="Times New Roman" w:hAnsi="Times New Roman" w:cs="Times New Roman"/>
          <w:b/>
          <w:bCs/>
          <w:sz w:val="24"/>
          <w:szCs w:val="24"/>
        </w:rPr>
        <w:t xml:space="preserve"> Eddy </w:t>
      </w:r>
      <w:proofErr w:type="spellStart"/>
      <w:r w:rsidRPr="00EF6D2C">
        <w:rPr>
          <w:rFonts w:ascii="Times New Roman" w:hAnsi="Times New Roman" w:cs="Times New Roman"/>
          <w:b/>
          <w:bCs/>
          <w:sz w:val="24"/>
          <w:szCs w:val="24"/>
        </w:rPr>
        <w:t>Saputro</w:t>
      </w:r>
      <w:proofErr w:type="spellEnd"/>
    </w:p>
    <w:p w14:paraId="1E1D9A9C" w14:textId="3DFA5F95" w:rsidR="00EF6D2C" w:rsidRPr="00EF6D2C" w:rsidRDefault="00EF6D2C" w:rsidP="00EF6D2C">
      <w:pPr>
        <w:spacing w:after="0" w:line="240" w:lineRule="auto"/>
        <w:jc w:val="center"/>
        <w:rPr>
          <w:rFonts w:ascii="Times New Roman" w:hAnsi="Times New Roman" w:cs="Times New Roman"/>
          <w:sz w:val="24"/>
          <w:szCs w:val="24"/>
          <w:u w:val="single"/>
        </w:rPr>
      </w:pPr>
      <w:r w:rsidRPr="00EF6D2C">
        <w:rPr>
          <w:rFonts w:ascii="Times New Roman" w:hAnsi="Times New Roman" w:cs="Times New Roman"/>
          <w:sz w:val="24"/>
          <w:szCs w:val="24"/>
          <w:u w:val="single"/>
        </w:rPr>
        <w:t>isnaini1291@gmail.com</w:t>
      </w:r>
    </w:p>
    <w:p w14:paraId="225797C0" w14:textId="16B064EA" w:rsidR="00EF6D2C" w:rsidRPr="00EF6D2C" w:rsidRDefault="00EF6D2C" w:rsidP="00EF6D2C">
      <w:pPr>
        <w:spacing w:after="0" w:line="240" w:lineRule="auto"/>
        <w:jc w:val="center"/>
        <w:rPr>
          <w:rFonts w:ascii="Times New Roman" w:hAnsi="Times New Roman" w:cs="Times New Roman"/>
          <w:b/>
          <w:bCs/>
          <w:sz w:val="24"/>
          <w:szCs w:val="24"/>
        </w:rPr>
      </w:pPr>
      <w:r w:rsidRPr="00EF6D2C">
        <w:rPr>
          <w:rFonts w:ascii="Times New Roman" w:hAnsi="Times New Roman" w:cs="Times New Roman"/>
          <w:b/>
          <w:bCs/>
          <w:sz w:val="24"/>
          <w:szCs w:val="24"/>
        </w:rPr>
        <w:t>Universitas Muhammadiyah Sorong</w:t>
      </w:r>
    </w:p>
    <w:p w14:paraId="50536888" w14:textId="77777777" w:rsidR="00EF6D2C" w:rsidRPr="00EF6D2C" w:rsidRDefault="00EF6D2C" w:rsidP="00EF6D2C">
      <w:pPr>
        <w:keepNext/>
        <w:spacing w:after="0" w:line="240" w:lineRule="auto"/>
        <w:rPr>
          <w:rFonts w:ascii="Times New Roman" w:hAnsi="Times New Roman" w:cs="Times New Roman"/>
          <w:b/>
          <w:sz w:val="24"/>
          <w:szCs w:val="24"/>
        </w:rPr>
      </w:pPr>
    </w:p>
    <w:p w14:paraId="0015BD9C" w14:textId="4931A2CE" w:rsidR="00EF6D2C" w:rsidRPr="00EF6D2C" w:rsidRDefault="0057214E" w:rsidP="00EF6D2C">
      <w:pPr>
        <w:keepNext/>
        <w:spacing w:after="0" w:line="240" w:lineRule="auto"/>
        <w:rPr>
          <w:rFonts w:ascii="Times New Roman" w:hAnsi="Times New Roman" w:cs="Times New Roman"/>
          <w:b/>
          <w:sz w:val="24"/>
          <w:szCs w:val="24"/>
        </w:rPr>
      </w:pPr>
      <w:r w:rsidRPr="00EF6D2C">
        <w:rPr>
          <w:rFonts w:ascii="Times New Roman" w:hAnsi="Times New Roman" w:cs="Times New Roman"/>
          <w:b/>
          <w:sz w:val="24"/>
          <w:szCs w:val="24"/>
        </w:rPr>
        <w:t>ABSTRACT</w:t>
      </w:r>
    </w:p>
    <w:p w14:paraId="442FB846" w14:textId="77777777" w:rsidR="00EF6D2C" w:rsidRPr="00EF6D2C" w:rsidRDefault="001F66B3" w:rsidP="00EF6D2C">
      <w:pPr>
        <w:spacing w:after="0" w:line="240" w:lineRule="auto"/>
        <w:ind w:left="567"/>
        <w:jc w:val="both"/>
        <w:rPr>
          <w:rFonts w:ascii="Times New Roman" w:hAnsi="Times New Roman" w:cs="Times New Roman"/>
          <w:sz w:val="24"/>
          <w:szCs w:val="24"/>
        </w:rPr>
      </w:pPr>
      <w:r w:rsidRPr="00EF6D2C">
        <w:rPr>
          <w:rFonts w:ascii="Times New Roman" w:hAnsi="Times New Roman" w:cs="Times New Roman"/>
          <w:sz w:val="24"/>
          <w:szCs w:val="24"/>
        </w:rPr>
        <w:t xml:space="preserve">English proficiency, particularly mastery of specialized vocabulary, is essential for nautical students preparing for professional communication in the maritime industry. However, students often experience difficulties acquiring technical maritime terminology due to limited exposure, insufficient opportunities for repeated practice, and predominantly summative assessment practices. This study investigated changes in nautical students' maritime vocabulary mastery following the implementation of Google Forms-based formative assessment. A quantitative pre-experimental design with a one-group pretest–posttest approach was employed, involving 25 students enrolled in a Maritime English course. Maritime vocabulary tests were administered before and after the intervention, which incorporated repeated vocabulary practice and immediate feedback. The data were analyzed using descriptive statistics, gain-score analysis, and a paired-samples </w:t>
      </w:r>
      <w:r w:rsidRPr="00EF6D2C">
        <w:rPr>
          <w:rFonts w:ascii="Times New Roman" w:hAnsi="Times New Roman" w:cs="Times New Roman"/>
          <w:i/>
          <w:iCs/>
          <w:sz w:val="24"/>
          <w:szCs w:val="24"/>
        </w:rPr>
        <w:t>t</w:t>
      </w:r>
      <w:r w:rsidRPr="00EF6D2C">
        <w:rPr>
          <w:rFonts w:ascii="Times New Roman" w:hAnsi="Times New Roman" w:cs="Times New Roman"/>
          <w:sz w:val="24"/>
          <w:szCs w:val="24"/>
        </w:rPr>
        <w:t xml:space="preserve">-test. The results showed that the mean vocabulary score increased from 63.36 in the pre-test to 86.48 in the post-test, representing a mean gain of 23.12 points and a normalized gain of 0.63. The paired-samples </w:t>
      </w:r>
      <w:r w:rsidRPr="00EF6D2C">
        <w:rPr>
          <w:rFonts w:ascii="Times New Roman" w:hAnsi="Times New Roman" w:cs="Times New Roman"/>
          <w:i/>
          <w:iCs/>
          <w:sz w:val="24"/>
          <w:szCs w:val="24"/>
        </w:rPr>
        <w:t>t</w:t>
      </w:r>
      <w:r w:rsidRPr="00EF6D2C">
        <w:rPr>
          <w:rFonts w:ascii="Times New Roman" w:hAnsi="Times New Roman" w:cs="Times New Roman"/>
          <w:sz w:val="24"/>
          <w:szCs w:val="24"/>
        </w:rPr>
        <w:t xml:space="preserve">-test revealed a statistically significant difference between the two assessments, </w:t>
      </w:r>
      <w:proofErr w:type="gramStart"/>
      <w:r w:rsidRPr="00EF6D2C">
        <w:rPr>
          <w:rFonts w:ascii="Times New Roman" w:hAnsi="Times New Roman" w:cs="Times New Roman"/>
          <w:i/>
          <w:iCs/>
          <w:sz w:val="24"/>
          <w:szCs w:val="24"/>
        </w:rPr>
        <w:t>t</w:t>
      </w:r>
      <w:r w:rsidRPr="00EF6D2C">
        <w:rPr>
          <w:rFonts w:ascii="Times New Roman" w:hAnsi="Times New Roman" w:cs="Times New Roman"/>
          <w:sz w:val="24"/>
          <w:szCs w:val="24"/>
        </w:rPr>
        <w:t>(</w:t>
      </w:r>
      <w:proofErr w:type="gramEnd"/>
      <w:r w:rsidRPr="00EF6D2C">
        <w:rPr>
          <w:rFonts w:ascii="Times New Roman" w:hAnsi="Times New Roman" w:cs="Times New Roman"/>
          <w:sz w:val="24"/>
          <w:szCs w:val="24"/>
        </w:rPr>
        <w:t xml:space="preserve">24) = −27.45, </w:t>
      </w:r>
      <w:r w:rsidRPr="00EF6D2C">
        <w:rPr>
          <w:rFonts w:ascii="Times New Roman" w:hAnsi="Times New Roman" w:cs="Times New Roman"/>
          <w:i/>
          <w:iCs/>
          <w:sz w:val="24"/>
          <w:szCs w:val="24"/>
        </w:rPr>
        <w:t>p</w:t>
      </w:r>
      <w:r w:rsidRPr="00EF6D2C">
        <w:rPr>
          <w:rFonts w:ascii="Times New Roman" w:hAnsi="Times New Roman" w:cs="Times New Roman"/>
          <w:sz w:val="24"/>
          <w:szCs w:val="24"/>
        </w:rPr>
        <w:t xml:space="preserve"> &lt; .001. These findings indicate substantial improvement in students' performance on maritime vocabulary following the intervention. The study extends digital formative assessment into the underexplored context of specialized Maritime English vocabulary instruction by positioning Google Forms beyond a testing platform as a medium for repeated practice, immediate feedback, and continuous vocabulary reinforcement. The findings provide context-specific evidence for integrating formative assessment into technology-enhanced Maritime English instruction.</w:t>
      </w:r>
    </w:p>
    <w:p w14:paraId="0D26A296" w14:textId="788CF388" w:rsidR="0057214E" w:rsidRPr="00EF6D2C" w:rsidRDefault="00366C67" w:rsidP="00EF6D2C">
      <w:pPr>
        <w:spacing w:after="0" w:line="240" w:lineRule="auto"/>
        <w:ind w:left="567"/>
        <w:jc w:val="both"/>
        <w:rPr>
          <w:rFonts w:ascii="Times New Roman" w:hAnsi="Times New Roman" w:cs="Times New Roman"/>
          <w:sz w:val="24"/>
          <w:szCs w:val="24"/>
        </w:rPr>
      </w:pPr>
      <w:r w:rsidRPr="00EF6D2C">
        <w:rPr>
          <w:rFonts w:ascii="Times New Roman" w:hAnsi="Times New Roman" w:cs="Times New Roman"/>
          <w:b/>
          <w:sz w:val="24"/>
          <w:szCs w:val="24"/>
        </w:rPr>
        <w:t>Keywords:</w:t>
      </w:r>
      <w:r w:rsidRPr="00EF6D2C">
        <w:rPr>
          <w:rFonts w:ascii="Times New Roman" w:hAnsi="Times New Roman" w:cs="Times New Roman"/>
          <w:sz w:val="24"/>
          <w:szCs w:val="24"/>
        </w:rPr>
        <w:t xml:space="preserve"> </w:t>
      </w:r>
      <w:r w:rsidR="00EF6D2C" w:rsidRPr="00EF6D2C">
        <w:rPr>
          <w:rFonts w:ascii="Times New Roman" w:hAnsi="Times New Roman" w:cs="Times New Roman"/>
          <w:sz w:val="24"/>
          <w:szCs w:val="24"/>
        </w:rPr>
        <w:t xml:space="preserve">Maritime </w:t>
      </w:r>
      <w:r w:rsidRPr="00EF6D2C">
        <w:rPr>
          <w:rFonts w:ascii="Times New Roman" w:hAnsi="Times New Roman" w:cs="Times New Roman"/>
          <w:sz w:val="24"/>
          <w:szCs w:val="24"/>
        </w:rPr>
        <w:t>English</w:t>
      </w:r>
      <w:r w:rsidR="00EF6D2C" w:rsidRPr="00EF6D2C">
        <w:rPr>
          <w:rFonts w:ascii="Times New Roman" w:hAnsi="Times New Roman" w:cs="Times New Roman"/>
          <w:sz w:val="24"/>
          <w:szCs w:val="24"/>
        </w:rPr>
        <w:t xml:space="preserve">; Vocabulary Learning; Formative Assessment; </w:t>
      </w:r>
      <w:r w:rsidRPr="00EF6D2C">
        <w:rPr>
          <w:rFonts w:ascii="Times New Roman" w:hAnsi="Times New Roman" w:cs="Times New Roman"/>
          <w:sz w:val="24"/>
          <w:szCs w:val="24"/>
        </w:rPr>
        <w:t>Google Forms</w:t>
      </w:r>
      <w:r w:rsidR="00EF6D2C" w:rsidRPr="00EF6D2C">
        <w:rPr>
          <w:rFonts w:ascii="Times New Roman" w:hAnsi="Times New Roman" w:cs="Times New Roman"/>
          <w:sz w:val="24"/>
          <w:szCs w:val="24"/>
        </w:rPr>
        <w:t>; Maritime Education</w:t>
      </w:r>
    </w:p>
    <w:p w14:paraId="7785E7D2" w14:textId="77777777" w:rsidR="00EF6D2C" w:rsidRPr="00EF6D2C" w:rsidRDefault="00EF6D2C" w:rsidP="00EF6D2C">
      <w:pPr>
        <w:spacing w:after="0" w:line="240" w:lineRule="auto"/>
        <w:ind w:left="567"/>
        <w:jc w:val="both"/>
        <w:rPr>
          <w:rFonts w:ascii="Times New Roman" w:hAnsi="Times New Roman" w:cs="Times New Roman"/>
          <w:sz w:val="24"/>
          <w:szCs w:val="24"/>
        </w:rPr>
      </w:pPr>
    </w:p>
    <w:p w14:paraId="1E380C64" w14:textId="77777777" w:rsidR="0057214E" w:rsidRPr="00EF6D2C" w:rsidRDefault="00C835D0" w:rsidP="00EF6D2C">
      <w:pPr>
        <w:keepNext/>
        <w:spacing w:after="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t>INTRODUCTION</w:t>
      </w:r>
    </w:p>
    <w:p w14:paraId="6C9147DE" w14:textId="77777777" w:rsidR="00EF6D2C" w:rsidRPr="00EF6D2C" w:rsidRDefault="00EF6D2C" w:rsidP="00EF6D2C">
      <w:pPr>
        <w:keepNext/>
        <w:spacing w:after="0" w:line="240" w:lineRule="auto"/>
        <w:jc w:val="both"/>
        <w:rPr>
          <w:rFonts w:ascii="Times New Roman" w:hAnsi="Times New Roman" w:cs="Times New Roman"/>
          <w:b/>
          <w:sz w:val="24"/>
          <w:szCs w:val="24"/>
        </w:rPr>
      </w:pPr>
    </w:p>
    <w:p w14:paraId="67401F22" w14:textId="77777777" w:rsidR="008F5BA2" w:rsidRPr="00EF6D2C" w:rsidRDefault="007737F2"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English plays a crucial role in the maritime industry, serving as the primary language for international communication at sea (Satler &amp; Jurkovič, 2024; Simanjuntak et al., 2025). Officers and crew members from different countries rely on English to ensure effective communication in navigation, safety procedures, and </w:t>
      </w:r>
      <w:r w:rsidRPr="00EF6D2C">
        <w:rPr>
          <w:rFonts w:ascii="Times New Roman" w:hAnsi="Times New Roman" w:cs="Times New Roman"/>
          <w:sz w:val="24"/>
          <w:szCs w:val="24"/>
        </w:rPr>
        <w:lastRenderedPageBreak/>
        <w:t xml:space="preserve">operational coordination. Therefore, maritime students, particularly those enrolled in nautical officer training programs, are required to master specialized maritime vocabulary to support their future professional responsibilities. The ability to understand and use maritime terminology accurately is essential not only for academic success but also for ensuring safety and efficiency in maritime operations. </w:t>
      </w:r>
      <w:r w:rsidR="008F5BA2" w:rsidRPr="00EF6D2C">
        <w:rPr>
          <w:rFonts w:ascii="Times New Roman" w:hAnsi="Times New Roman" w:cs="Times New Roman"/>
          <w:sz w:val="24"/>
          <w:szCs w:val="24"/>
        </w:rPr>
        <w:t xml:space="preserve">The International Maritime Organization established the Standards of Training, Certification and Watchkeeping for Seafarers (STCW) Convention, which places a strong emphasis on these competencies. </w:t>
      </w:r>
    </w:p>
    <w:p w14:paraId="21F74E25" w14:textId="77777777" w:rsidR="007737F2" w:rsidRPr="00EF6D2C" w:rsidRDefault="007737F2"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Maritime English differs from general English because it involves highly specialized terminology related to navigation, ship operations, meteorology, safety equipment, and communication procedures (Bocanegra-Valle, 2024). According to Maung (2025), international maritime standards require officers to demonstrate sufficient English proficiency to communicate effectively in both routine and emergency situations. This requirement is also emphasized in the STCW Convention, which highlights the importance of English competence for maritime professionals to maintain safety and coordination during maritime operations (Yi et al., 2025).</w:t>
      </w:r>
    </w:p>
    <w:p w14:paraId="277D9F69" w14:textId="77777777" w:rsidR="007737F2" w:rsidRPr="00EF6D2C" w:rsidRDefault="007737F2"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Despite its importance, many maritime students struggle to acquire maritime vocabulary.</w:t>
      </w:r>
      <w:r w:rsidR="00407B5B" w:rsidRPr="00EF6D2C">
        <w:rPr>
          <w:rFonts w:ascii="Times New Roman" w:hAnsi="Times New Roman" w:cs="Times New Roman"/>
          <w:sz w:val="24"/>
          <w:szCs w:val="24"/>
        </w:rPr>
        <w:t xml:space="preserve"> In the local context, maritime students in Sorong still experience difficulties in applying English in real workplace situations. For example, students often find it challenging to understand standard marine communication phrases, respond to safety instructions, or interpret technical terms used during ship operations and training simulations.</w:t>
      </w:r>
      <w:r w:rsidRPr="00EF6D2C">
        <w:rPr>
          <w:rFonts w:ascii="Times New Roman" w:hAnsi="Times New Roman" w:cs="Times New Roman"/>
          <w:sz w:val="24"/>
          <w:szCs w:val="24"/>
        </w:rPr>
        <w:t xml:space="preserve"> </w:t>
      </w:r>
      <w:proofErr w:type="spellStart"/>
      <w:r w:rsidRPr="00EF6D2C">
        <w:rPr>
          <w:rFonts w:ascii="Times New Roman" w:hAnsi="Times New Roman" w:cs="Times New Roman"/>
          <w:sz w:val="24"/>
          <w:szCs w:val="24"/>
        </w:rPr>
        <w:t>Abimanto</w:t>
      </w:r>
      <w:proofErr w:type="spellEnd"/>
      <w:r w:rsidRPr="00EF6D2C">
        <w:rPr>
          <w:rFonts w:ascii="Times New Roman" w:hAnsi="Times New Roman" w:cs="Times New Roman"/>
          <w:sz w:val="24"/>
          <w:szCs w:val="24"/>
        </w:rPr>
        <w:t xml:space="preserve"> and </w:t>
      </w:r>
      <w:proofErr w:type="spellStart"/>
      <w:r w:rsidRPr="00EF6D2C">
        <w:rPr>
          <w:rFonts w:ascii="Times New Roman" w:hAnsi="Times New Roman" w:cs="Times New Roman"/>
          <w:sz w:val="24"/>
          <w:szCs w:val="24"/>
        </w:rPr>
        <w:t>Mahendro</w:t>
      </w:r>
      <w:proofErr w:type="spellEnd"/>
      <w:r w:rsidRPr="00EF6D2C">
        <w:rPr>
          <w:rFonts w:ascii="Times New Roman" w:hAnsi="Times New Roman" w:cs="Times New Roman"/>
          <w:sz w:val="24"/>
          <w:szCs w:val="24"/>
        </w:rPr>
        <w:t xml:space="preserve"> (2025) reported that students experience significant difficulties in mastering Maritime English terminology, particularly vocabulary and pronunciation, often influenced by first-language interference. Similarly, </w:t>
      </w:r>
      <w:proofErr w:type="spellStart"/>
      <w:r w:rsidRPr="00EF6D2C">
        <w:rPr>
          <w:rFonts w:ascii="Times New Roman" w:hAnsi="Times New Roman" w:cs="Times New Roman"/>
          <w:sz w:val="24"/>
          <w:szCs w:val="24"/>
        </w:rPr>
        <w:t>Rohmah</w:t>
      </w:r>
      <w:proofErr w:type="spellEnd"/>
      <w:r w:rsidRPr="00EF6D2C">
        <w:rPr>
          <w:rFonts w:ascii="Times New Roman" w:hAnsi="Times New Roman" w:cs="Times New Roman"/>
          <w:sz w:val="24"/>
          <w:szCs w:val="24"/>
        </w:rPr>
        <w:t xml:space="preserve"> et al. (2025) found that limited vocabulary knowledge negatively affects students’ academic performance and readiness for professional communication. Nurdin et al. (2023) also identified insufficient vocabulary mastery as a major factor affecting maritime cadets’ English communication ability. These challenges are often caused by the complexity of technical terminology, limited exposure to authentic maritime communication contexts, and the continued reliance on traditional teaching approaches. </w:t>
      </w:r>
      <w:r w:rsidR="008F5BA2" w:rsidRPr="00EF6D2C">
        <w:rPr>
          <w:rFonts w:ascii="Times New Roman" w:hAnsi="Times New Roman" w:cs="Times New Roman"/>
          <w:sz w:val="24"/>
          <w:szCs w:val="24"/>
        </w:rPr>
        <w:t xml:space="preserve">To ensure long-term memory, effective vocabulary learning necessitates frequent exposure, contextual practice, and ongoing feedback </w:t>
      </w:r>
      <w:r w:rsidRPr="00EF6D2C">
        <w:rPr>
          <w:rFonts w:ascii="Times New Roman" w:hAnsi="Times New Roman" w:cs="Times New Roman"/>
          <w:sz w:val="24"/>
          <w:szCs w:val="24"/>
        </w:rPr>
        <w:t>(</w:t>
      </w:r>
      <w:proofErr w:type="spellStart"/>
      <w:r w:rsidRPr="00EF6D2C">
        <w:rPr>
          <w:rFonts w:ascii="Times New Roman" w:hAnsi="Times New Roman" w:cs="Times New Roman"/>
          <w:sz w:val="24"/>
          <w:szCs w:val="24"/>
        </w:rPr>
        <w:t>Saputro</w:t>
      </w:r>
      <w:proofErr w:type="spellEnd"/>
      <w:r w:rsidRPr="00EF6D2C">
        <w:rPr>
          <w:rFonts w:ascii="Times New Roman" w:hAnsi="Times New Roman" w:cs="Times New Roman"/>
          <w:sz w:val="24"/>
          <w:szCs w:val="24"/>
        </w:rPr>
        <w:t xml:space="preserve"> et al., 2025). However, limited classroom time often restricts opportunities for regular practice and feedback.</w:t>
      </w:r>
    </w:p>
    <w:p w14:paraId="19593AF1" w14:textId="77777777" w:rsidR="007737F2" w:rsidRPr="00EF6D2C" w:rsidRDefault="00D247A6"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It is widely acknowledged that formative assessment is an effective way to support language acquisition. Because it enables teachers to offer more frequent practice, quick feedback, and flexible access to learning activities outside of the classroom, including digital tools like Google Forms in formative assessment, is crucial in this situation. </w:t>
      </w:r>
      <w:r w:rsidR="007737F2" w:rsidRPr="00EF6D2C">
        <w:rPr>
          <w:rFonts w:ascii="Times New Roman" w:hAnsi="Times New Roman" w:cs="Times New Roman"/>
          <w:sz w:val="24"/>
          <w:szCs w:val="24"/>
        </w:rPr>
        <w:t xml:space="preserve">It enables instructors to monitor students’ progress continuously and provide immediate feedback that helps learners identify their strengths and weaknesses (Anders et al., 2022; Pastore et al., 2025). Unlike summative assessment, which focuses on final evaluation, formative assessment emphasizes ongoing learning improvement through continuous monitoring and feedback that </w:t>
      </w:r>
      <w:r w:rsidR="007737F2" w:rsidRPr="00EF6D2C">
        <w:rPr>
          <w:rFonts w:ascii="Times New Roman" w:hAnsi="Times New Roman" w:cs="Times New Roman"/>
          <w:sz w:val="24"/>
          <w:szCs w:val="24"/>
        </w:rPr>
        <w:lastRenderedPageBreak/>
        <w:t>promotes students’ active engagement (Carless &amp; Winstone, 2023). With the advancement of educational technology, digital tools have increasingly been integrated into language learning and assessment practices. One widely accessible tool is Google Forms, a web-based platform that allows teachers to design quizzes, surveys, and formative assessments efficiently (</w:t>
      </w:r>
      <w:proofErr w:type="spellStart"/>
      <w:r w:rsidR="007737F2" w:rsidRPr="00EF6D2C">
        <w:rPr>
          <w:rFonts w:ascii="Times New Roman" w:hAnsi="Times New Roman" w:cs="Times New Roman"/>
          <w:sz w:val="24"/>
          <w:szCs w:val="24"/>
        </w:rPr>
        <w:t>Mirzapour</w:t>
      </w:r>
      <w:proofErr w:type="spellEnd"/>
      <w:r w:rsidR="007737F2" w:rsidRPr="00EF6D2C">
        <w:rPr>
          <w:rFonts w:ascii="Times New Roman" w:hAnsi="Times New Roman" w:cs="Times New Roman"/>
          <w:sz w:val="24"/>
          <w:szCs w:val="24"/>
        </w:rPr>
        <w:t xml:space="preserve"> </w:t>
      </w:r>
      <w:proofErr w:type="spellStart"/>
      <w:r w:rsidR="007737F2" w:rsidRPr="00EF6D2C">
        <w:rPr>
          <w:rFonts w:ascii="Times New Roman" w:hAnsi="Times New Roman" w:cs="Times New Roman"/>
          <w:sz w:val="24"/>
          <w:szCs w:val="24"/>
        </w:rPr>
        <w:t>Kouhdasht</w:t>
      </w:r>
      <w:proofErr w:type="spellEnd"/>
      <w:r w:rsidR="007737F2" w:rsidRPr="00EF6D2C">
        <w:rPr>
          <w:rFonts w:ascii="Times New Roman" w:hAnsi="Times New Roman" w:cs="Times New Roman"/>
          <w:sz w:val="24"/>
          <w:szCs w:val="24"/>
        </w:rPr>
        <w:t xml:space="preserve">, 2023; Singaram, 2022). Its features, such as automated scoring, instant feedback, and flexible question formats, enable instructors to evaluate students’ vocabulary knowledge more frequently while providing learners with opportunities to review and improve their understanding (Singaram, 2022; </w:t>
      </w:r>
      <w:proofErr w:type="spellStart"/>
      <w:r w:rsidR="007737F2" w:rsidRPr="00EF6D2C">
        <w:rPr>
          <w:rFonts w:ascii="Times New Roman" w:hAnsi="Times New Roman" w:cs="Times New Roman"/>
          <w:sz w:val="24"/>
          <w:szCs w:val="24"/>
        </w:rPr>
        <w:t>Saputro</w:t>
      </w:r>
      <w:proofErr w:type="spellEnd"/>
      <w:r w:rsidR="007737F2" w:rsidRPr="00EF6D2C">
        <w:rPr>
          <w:rFonts w:ascii="Times New Roman" w:hAnsi="Times New Roman" w:cs="Times New Roman"/>
          <w:sz w:val="24"/>
          <w:szCs w:val="24"/>
        </w:rPr>
        <w:t xml:space="preserve"> et al., 2022).</w:t>
      </w:r>
    </w:p>
    <w:p w14:paraId="0F36E115"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Previous studies have highlighted the benefits of technology-based formative assessment for improving student engagement and learning outcomes (</w:t>
      </w:r>
      <w:proofErr w:type="spellStart"/>
      <w:r w:rsidRPr="00EF6D2C">
        <w:rPr>
          <w:rFonts w:ascii="Times New Roman" w:hAnsi="Times New Roman" w:cs="Times New Roman"/>
          <w:sz w:val="24"/>
          <w:szCs w:val="24"/>
        </w:rPr>
        <w:t>Saputro</w:t>
      </w:r>
      <w:proofErr w:type="spellEnd"/>
      <w:r w:rsidRPr="00EF6D2C">
        <w:rPr>
          <w:rFonts w:ascii="Times New Roman" w:hAnsi="Times New Roman" w:cs="Times New Roman"/>
          <w:sz w:val="24"/>
          <w:szCs w:val="24"/>
        </w:rPr>
        <w:t xml:space="preserve">, 2025). Digital formative assessment can encourage active participation, facilitate immediate feedback, and enable teachers to collect learning data efficiently (Dewi et al., 2025; </w:t>
      </w:r>
      <w:proofErr w:type="spellStart"/>
      <w:r w:rsidRPr="00EF6D2C">
        <w:rPr>
          <w:rFonts w:ascii="Times New Roman" w:hAnsi="Times New Roman" w:cs="Times New Roman"/>
          <w:sz w:val="24"/>
          <w:szCs w:val="24"/>
        </w:rPr>
        <w:t>Saputro</w:t>
      </w:r>
      <w:proofErr w:type="spellEnd"/>
      <w:r w:rsidRPr="00EF6D2C">
        <w:rPr>
          <w:rFonts w:ascii="Times New Roman" w:hAnsi="Times New Roman" w:cs="Times New Roman"/>
          <w:sz w:val="24"/>
          <w:szCs w:val="24"/>
        </w:rPr>
        <w:t xml:space="preserve"> et al., 2026). In language-learning contexts, online assessment has also been associated with vocabulary development through repeated practice and immediate corrective feedback (Zou et al., 2021; Moorhouse &amp; Kohnke, 2023). However, these studies have predominantly addressed general language-learning environments rather than the acquisition of specialized vocabulary required for safety-sensitive professional communication. In Maritime English education, digital formative assessment specifically designed to reinforce technical vocabulary remains underexplored, while assessment practices continue to rely substantially on summative evaluation (Shi &amp; Fan, 2021). This gap is particularly relevant to the Sorong context, where nautical students must develop the technical vocabulary needed to understand operational instructions, safety procedures, and professional maritime communication. Consequently, there is a need to examine an assessment approach that not only measures vocabulary achievement but also continuously supports its development.</w:t>
      </w:r>
    </w:p>
    <w:p w14:paraId="47659894"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Addressing this gap, the present study investigates Google Forms-based formative assessment as a continuous learning mechanism for specialized Maritime English vocabulary rather than merely as a digital testing platform. Its distinctive contribution lies in connecting the technological affordances of Google Forms, particularly repeated practice, automated scoring, and immediate feedback, with the specific vocabulary demands of nautical education. This focus distinguishes the present study from previous technology-enhanced assessment research conducted predominantly in general English learning contexts and provides context-specific evidence from maritime education in Sorong. Accordingly, this study investigates whether Google Forms-based formative assessment significantly improves nautical students' mastery of maritime vocabulary. The study is guided by the following research question: </w:t>
      </w:r>
      <w:r w:rsidRPr="00EF6D2C">
        <w:rPr>
          <w:rFonts w:ascii="Times New Roman" w:hAnsi="Times New Roman" w:cs="Times New Roman"/>
          <w:bCs/>
          <w:sz w:val="24"/>
          <w:szCs w:val="24"/>
        </w:rPr>
        <w:t>Does Google Forms-based formative assessment significantly improve nautical students' mastery of maritime vocabulary?</w:t>
      </w:r>
    </w:p>
    <w:p w14:paraId="1F9B3737" w14:textId="77777777" w:rsidR="00C835D0" w:rsidRPr="00EF6D2C" w:rsidRDefault="00C835D0"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lastRenderedPageBreak/>
        <w:t>LITERATURE REVIEW</w:t>
      </w:r>
    </w:p>
    <w:p w14:paraId="20A1FD78" w14:textId="77777777" w:rsidR="007737F2" w:rsidRPr="00EF6D2C" w:rsidRDefault="007737F2"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t>Maritime English and Vocabulary in Nautical Education</w:t>
      </w:r>
    </w:p>
    <w:p w14:paraId="018598D3"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English has become the dominant language for communication in the global maritime industry (</w:t>
      </w:r>
      <w:proofErr w:type="spellStart"/>
      <w:r w:rsidRPr="00EF6D2C">
        <w:rPr>
          <w:rFonts w:ascii="Times New Roman" w:hAnsi="Times New Roman" w:cs="Times New Roman"/>
          <w:sz w:val="24"/>
          <w:szCs w:val="24"/>
        </w:rPr>
        <w:t>Vidhiasi</w:t>
      </w:r>
      <w:proofErr w:type="spellEnd"/>
      <w:r w:rsidRPr="00EF6D2C">
        <w:rPr>
          <w:rFonts w:ascii="Times New Roman" w:hAnsi="Times New Roman" w:cs="Times New Roman"/>
          <w:sz w:val="24"/>
          <w:szCs w:val="24"/>
        </w:rPr>
        <w:t xml:space="preserve"> &amp; </w:t>
      </w:r>
      <w:proofErr w:type="spellStart"/>
      <w:r w:rsidRPr="00EF6D2C">
        <w:rPr>
          <w:rFonts w:ascii="Times New Roman" w:hAnsi="Times New Roman" w:cs="Times New Roman"/>
          <w:sz w:val="24"/>
          <w:szCs w:val="24"/>
        </w:rPr>
        <w:t>Syihabuddin</w:t>
      </w:r>
      <w:proofErr w:type="spellEnd"/>
      <w:r w:rsidRPr="00EF6D2C">
        <w:rPr>
          <w:rFonts w:ascii="Times New Roman" w:hAnsi="Times New Roman" w:cs="Times New Roman"/>
          <w:sz w:val="24"/>
          <w:szCs w:val="24"/>
        </w:rPr>
        <w:t>, 2022). Effective communication among multinational crews, port authorities, and maritime organizations is essential for navigational safety and operational efficiency (</w:t>
      </w:r>
      <w:proofErr w:type="spellStart"/>
      <w:r w:rsidRPr="00EF6D2C">
        <w:rPr>
          <w:rFonts w:ascii="Times New Roman" w:hAnsi="Times New Roman" w:cs="Times New Roman"/>
          <w:sz w:val="24"/>
          <w:szCs w:val="24"/>
        </w:rPr>
        <w:t>Nursyam</w:t>
      </w:r>
      <w:proofErr w:type="spellEnd"/>
      <w:r w:rsidRPr="00EF6D2C">
        <w:rPr>
          <w:rFonts w:ascii="Times New Roman" w:hAnsi="Times New Roman" w:cs="Times New Roman"/>
          <w:sz w:val="24"/>
          <w:szCs w:val="24"/>
        </w:rPr>
        <w:t>, 2025). International maritime standards, including the Standards of Training, Certification and Watchkeeping for Seafarers (STCW) Convention, emphasize adequate English proficiency for professional communication in both routine and emergency situations (Moore &amp; Nordquist, 2023). Within maritime education, therefore, English competence is closely connected to students' preparation for professional responsibilities rather than solely to general academic achievement.</w:t>
      </w:r>
    </w:p>
    <w:p w14:paraId="7D447AEA"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Maritime English differs from general English because it incorporates specialized terminology associated with navigation, ship operations, meteorology, safety procedures, and maritime communication. </w:t>
      </w:r>
      <w:proofErr w:type="spellStart"/>
      <w:r w:rsidRPr="00EF6D2C">
        <w:rPr>
          <w:rFonts w:ascii="Times New Roman" w:hAnsi="Times New Roman" w:cs="Times New Roman"/>
          <w:sz w:val="24"/>
          <w:szCs w:val="24"/>
        </w:rPr>
        <w:t>Vidhiasi</w:t>
      </w:r>
      <w:proofErr w:type="spellEnd"/>
      <w:r w:rsidRPr="00EF6D2C">
        <w:rPr>
          <w:rFonts w:ascii="Times New Roman" w:hAnsi="Times New Roman" w:cs="Times New Roman"/>
          <w:sz w:val="24"/>
          <w:szCs w:val="24"/>
        </w:rPr>
        <w:t xml:space="preserve"> and </w:t>
      </w:r>
      <w:proofErr w:type="spellStart"/>
      <w:r w:rsidRPr="00EF6D2C">
        <w:rPr>
          <w:rFonts w:ascii="Times New Roman" w:hAnsi="Times New Roman" w:cs="Times New Roman"/>
          <w:sz w:val="24"/>
          <w:szCs w:val="24"/>
        </w:rPr>
        <w:t>Syihabuddin</w:t>
      </w:r>
      <w:proofErr w:type="spellEnd"/>
      <w:r w:rsidRPr="00EF6D2C">
        <w:rPr>
          <w:rFonts w:ascii="Times New Roman" w:hAnsi="Times New Roman" w:cs="Times New Roman"/>
          <w:sz w:val="24"/>
          <w:szCs w:val="24"/>
        </w:rPr>
        <w:t xml:space="preserve"> (2022) emphasize that Maritime English addresses specific professional communication needs and requires accurate use of technical vocabulary. Vocabulary mastery is consequently fundamental to nautical students' ability to understand operational instructions, interpret technical information, and communicate accurately in professional maritime settings.</w:t>
      </w:r>
    </w:p>
    <w:p w14:paraId="472C5FEA"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More broadly, vocabulary knowledge supports the development of listening, speaking, reading, and writing abilities (Zheng, 2025; Zou et al., 2021) and is associated with comprehension and overall language proficiency (Brooks et al., 2023; Lavigne et al., 2022). However, specialized maritime vocabulary presents an additional learning challenge because technical terms must often be understood and retrieved accurately within specific operational contexts. This characteristic suggests that maritime vocabulary instruction requires more than one-time presentation or memorization. Students need repeated opportunities to encounter, retrieve, apply, and correct their understanding of technical terms. Thus, the pedagogical challenge is not simply how maritime vocabulary is introduced but how instructional and assessment practices can create sustained cycles of vocabulary practice and reinforcement.</w:t>
      </w:r>
    </w:p>
    <w:p w14:paraId="0C687172" w14:textId="77777777" w:rsidR="007737F2" w:rsidRPr="00EF6D2C" w:rsidRDefault="007737F2"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t>Formative Assessment in Language Learning</w:t>
      </w:r>
    </w:p>
    <w:p w14:paraId="1DD4E94C"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Formative assessment is an assessment approach in which evidence of students' learning is continuously collected and used to inform subsequent learning and instruction. Unlike summative assessment, which primarily evaluates achievement after instruction, formative assessment provides opportunities to identify learning gaps while learning is still taking place. Wiliam (2021) emphasizes that evidence generated through formative assessment can support instructional adjustment and provide learners with information about their current progress.</w:t>
      </w:r>
    </w:p>
    <w:p w14:paraId="0C06DC02" w14:textId="4EC47D64" w:rsidR="00E8730B" w:rsidRPr="00EF6D2C" w:rsidRDefault="00EF6D2C"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0A39D9CC" wp14:editId="73B07CDC">
            <wp:simplePos x="0" y="0"/>
            <wp:positionH relativeFrom="margin">
              <wp:posOffset>0</wp:posOffset>
            </wp:positionH>
            <wp:positionV relativeFrom="margin">
              <wp:posOffset>1520825</wp:posOffset>
            </wp:positionV>
            <wp:extent cx="4829175" cy="2609850"/>
            <wp:effectExtent l="0" t="0" r="0" b="635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r w:rsidR="00E8730B" w:rsidRPr="00EF6D2C">
        <w:rPr>
          <w:rFonts w:ascii="Times New Roman" w:hAnsi="Times New Roman" w:cs="Times New Roman"/>
          <w:sz w:val="24"/>
          <w:szCs w:val="24"/>
        </w:rPr>
        <w:t xml:space="preserve">The value of formative assessment for vocabulary learning can be understood through the interaction of </w:t>
      </w:r>
      <w:r w:rsidR="00E8730B" w:rsidRPr="00EF6D2C">
        <w:rPr>
          <w:rFonts w:ascii="Times New Roman" w:hAnsi="Times New Roman" w:cs="Times New Roman"/>
          <w:bCs/>
          <w:sz w:val="24"/>
          <w:szCs w:val="24"/>
        </w:rPr>
        <w:t>practice, feedback, and subsequent improvement</w:t>
      </w:r>
      <w:r w:rsidR="00E8730B" w:rsidRPr="00EF6D2C">
        <w:rPr>
          <w:rFonts w:ascii="Times New Roman" w:hAnsi="Times New Roman" w:cs="Times New Roman"/>
          <w:sz w:val="24"/>
          <w:szCs w:val="24"/>
        </w:rPr>
        <w:t>. When students respond to vocabulary tasks, the assessment process requires them to retrieve previously encountered lexical knowledge. Their responses then provide evidence of what has been understood and what remains problematic. Corrective feedback can direct attention to errors, while subsequent opportunities to encounter and answer similar items allow students to revise and reinforce their knowledge. Therefore, formative assessment creates a recurring learning cycle:</w:t>
      </w:r>
    </w:p>
    <w:p w14:paraId="7E32F291" w14:textId="090D4598" w:rsidR="00E8730B" w:rsidRPr="00EF6D2C" w:rsidRDefault="00E8730B" w:rsidP="00EF6D2C">
      <w:pPr>
        <w:spacing w:after="0" w:line="240" w:lineRule="auto"/>
        <w:ind w:firstLine="720"/>
        <w:jc w:val="center"/>
        <w:rPr>
          <w:rFonts w:ascii="Times New Roman" w:hAnsi="Times New Roman" w:cs="Times New Roman"/>
          <w:i/>
          <w:iCs/>
          <w:sz w:val="24"/>
          <w:szCs w:val="24"/>
        </w:rPr>
      </w:pPr>
    </w:p>
    <w:p w14:paraId="7B379840" w14:textId="5CC460C8" w:rsidR="00EF6D2C" w:rsidRDefault="00E8730B" w:rsidP="004C3471">
      <w:pPr>
        <w:keepNext/>
        <w:spacing w:after="60" w:line="240" w:lineRule="auto"/>
        <w:jc w:val="center"/>
        <w:rPr>
          <w:rFonts w:ascii="Times New Roman" w:hAnsi="Times New Roman" w:cs="Times New Roman"/>
          <w:i/>
          <w:iCs/>
          <w:sz w:val="24"/>
          <w:szCs w:val="24"/>
        </w:rPr>
      </w:pPr>
      <w:r w:rsidRPr="00EF6D2C">
        <w:rPr>
          <w:rFonts w:ascii="Times New Roman" w:hAnsi="Times New Roman" w:cs="Times New Roman"/>
          <w:i/>
          <w:iCs/>
          <w:sz w:val="24"/>
          <w:szCs w:val="24"/>
        </w:rPr>
        <w:t>Figure 1. Learning Cycle</w:t>
      </w:r>
    </w:p>
    <w:p w14:paraId="4878E652" w14:textId="77777777" w:rsidR="004C3471" w:rsidRPr="004C3471" w:rsidRDefault="004C3471" w:rsidP="004C3471">
      <w:pPr>
        <w:keepNext/>
        <w:spacing w:after="60" w:line="240" w:lineRule="auto"/>
        <w:jc w:val="center"/>
        <w:rPr>
          <w:rFonts w:ascii="Times New Roman" w:hAnsi="Times New Roman" w:cs="Times New Roman"/>
          <w:i/>
          <w:iCs/>
          <w:sz w:val="24"/>
          <w:szCs w:val="24"/>
        </w:rPr>
      </w:pPr>
    </w:p>
    <w:p w14:paraId="605F8E7B" w14:textId="5F813769"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This process is particularly relevant to specialized vocabulary because technical terms require accurate recognition and retrieval. Studies have indicated that formative assessment can support vocabulary development by providing repeated exposure and opportunities for practice (</w:t>
      </w:r>
      <w:proofErr w:type="spellStart"/>
      <w:r w:rsidRPr="00EF6D2C">
        <w:rPr>
          <w:rFonts w:ascii="Times New Roman" w:hAnsi="Times New Roman" w:cs="Times New Roman"/>
          <w:sz w:val="24"/>
          <w:szCs w:val="24"/>
        </w:rPr>
        <w:t>Isnaini</w:t>
      </w:r>
      <w:proofErr w:type="spellEnd"/>
      <w:r w:rsidRPr="00EF6D2C">
        <w:rPr>
          <w:rFonts w:ascii="Times New Roman" w:hAnsi="Times New Roman" w:cs="Times New Roman"/>
          <w:sz w:val="24"/>
          <w:szCs w:val="24"/>
        </w:rPr>
        <w:t xml:space="preserve"> &amp; Firdaus, 2025; </w:t>
      </w:r>
      <w:proofErr w:type="spellStart"/>
      <w:r w:rsidRPr="00EF6D2C">
        <w:rPr>
          <w:rFonts w:ascii="Times New Roman" w:hAnsi="Times New Roman" w:cs="Times New Roman"/>
          <w:sz w:val="24"/>
          <w:szCs w:val="24"/>
        </w:rPr>
        <w:t>Shobeiry</w:t>
      </w:r>
      <w:proofErr w:type="spellEnd"/>
      <w:r w:rsidRPr="00EF6D2C">
        <w:rPr>
          <w:rFonts w:ascii="Times New Roman" w:hAnsi="Times New Roman" w:cs="Times New Roman"/>
          <w:sz w:val="24"/>
          <w:szCs w:val="24"/>
        </w:rPr>
        <w:t xml:space="preserve"> &amp; </w:t>
      </w:r>
      <w:proofErr w:type="spellStart"/>
      <w:r w:rsidRPr="00EF6D2C">
        <w:rPr>
          <w:rFonts w:ascii="Times New Roman" w:hAnsi="Times New Roman" w:cs="Times New Roman"/>
          <w:sz w:val="24"/>
          <w:szCs w:val="24"/>
        </w:rPr>
        <w:t>Namaziandost</w:t>
      </w:r>
      <w:proofErr w:type="spellEnd"/>
      <w:r w:rsidRPr="00EF6D2C">
        <w:rPr>
          <w:rFonts w:ascii="Times New Roman" w:hAnsi="Times New Roman" w:cs="Times New Roman"/>
          <w:sz w:val="24"/>
          <w:szCs w:val="24"/>
        </w:rPr>
        <w:t>, 2026), while corrective feedback can strengthen students' understanding and retention of vocabulary items (Yan et al., 2021; Zhang &amp; Huang, 2024). Accordingly, formative assessment may contribute to vocabulary learning not simply because students are tested frequently but because assessment activities generate repeated cycles of retrieval, feedback, and correction.</w:t>
      </w:r>
    </w:p>
    <w:p w14:paraId="4CE9F9B9"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Formative assessment may also increase learners' awareness of their own learning progress. Through regular feedback, students can recognize which vocabulary items have been </w:t>
      </w:r>
      <w:proofErr w:type="gramStart"/>
      <w:r w:rsidRPr="00EF6D2C">
        <w:rPr>
          <w:rFonts w:ascii="Times New Roman" w:hAnsi="Times New Roman" w:cs="Times New Roman"/>
          <w:sz w:val="24"/>
          <w:szCs w:val="24"/>
        </w:rPr>
        <w:t>mastered</w:t>
      </w:r>
      <w:proofErr w:type="gramEnd"/>
      <w:r w:rsidRPr="00EF6D2C">
        <w:rPr>
          <w:rFonts w:ascii="Times New Roman" w:hAnsi="Times New Roman" w:cs="Times New Roman"/>
          <w:sz w:val="24"/>
          <w:szCs w:val="24"/>
        </w:rPr>
        <w:t xml:space="preserve"> and which require further attention. Elkington and Irons (2025) argue that formative assessment can promote student engagement by creating greater interaction between evidence of learning and subsequent learning actions. In Maritime English instruction, this function is particularly important because instructors need to identify difficulties with technical terminology before such gaps become barriers to more complex professional communication.</w:t>
      </w:r>
    </w:p>
    <w:p w14:paraId="471DFD68" w14:textId="77777777" w:rsidR="007737F2" w:rsidRPr="00EF6D2C" w:rsidRDefault="007737F2"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lastRenderedPageBreak/>
        <w:t>Digital Formative Assessment and the Use of Google Forms</w:t>
      </w:r>
    </w:p>
    <w:p w14:paraId="648F5865"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Digital technology has expanded opportunities to implement formative assessment more frequently and efficiently (Bond et al., 2021). In language-learning contexts, digital platforms can provide flexible access to assessment activities and facilitate interaction beyond conventional classroom constraints (</w:t>
      </w:r>
      <w:proofErr w:type="spellStart"/>
      <w:r w:rsidRPr="00EF6D2C">
        <w:rPr>
          <w:rFonts w:ascii="Times New Roman" w:hAnsi="Times New Roman" w:cs="Times New Roman"/>
          <w:sz w:val="24"/>
          <w:szCs w:val="24"/>
        </w:rPr>
        <w:t>Hockly</w:t>
      </w:r>
      <w:proofErr w:type="spellEnd"/>
      <w:r w:rsidRPr="00EF6D2C">
        <w:rPr>
          <w:rFonts w:ascii="Times New Roman" w:hAnsi="Times New Roman" w:cs="Times New Roman"/>
          <w:sz w:val="24"/>
          <w:szCs w:val="24"/>
        </w:rPr>
        <w:t>, 2024; Singaram, 2022). Among these platforms, Google Forms provides features such as automated scoring, immediate feedback, and multiple question formats that can be adapted for language assessment (</w:t>
      </w:r>
      <w:proofErr w:type="spellStart"/>
      <w:r w:rsidRPr="00EF6D2C">
        <w:rPr>
          <w:rFonts w:ascii="Times New Roman" w:hAnsi="Times New Roman" w:cs="Times New Roman"/>
          <w:sz w:val="24"/>
          <w:szCs w:val="24"/>
        </w:rPr>
        <w:t>Mirzapour</w:t>
      </w:r>
      <w:proofErr w:type="spellEnd"/>
      <w:r w:rsidRPr="00EF6D2C">
        <w:rPr>
          <w:rFonts w:ascii="Times New Roman" w:hAnsi="Times New Roman" w:cs="Times New Roman"/>
          <w:sz w:val="24"/>
          <w:szCs w:val="24"/>
        </w:rPr>
        <w:t>, 2023; Singaram, 2022).</w:t>
      </w:r>
    </w:p>
    <w:p w14:paraId="6A3EFDD2"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However, the educational value of Google Forms does not lie merely in digitizing conventional tests. Its relevance to formative vocabulary learning emerges when its technological features are deliberately connected to learning processes. </w:t>
      </w:r>
      <w:r w:rsidRPr="00EF6D2C">
        <w:rPr>
          <w:rFonts w:ascii="Times New Roman" w:hAnsi="Times New Roman" w:cs="Times New Roman"/>
          <w:bCs/>
          <w:sz w:val="24"/>
          <w:szCs w:val="24"/>
        </w:rPr>
        <w:t>Automated scoring</w:t>
      </w:r>
      <w:r w:rsidRPr="00EF6D2C">
        <w:rPr>
          <w:rFonts w:ascii="Times New Roman" w:hAnsi="Times New Roman" w:cs="Times New Roman"/>
          <w:sz w:val="24"/>
          <w:szCs w:val="24"/>
        </w:rPr>
        <w:t xml:space="preserve"> enables learners to obtain information about their performance without substantial delay; </w:t>
      </w:r>
      <w:r w:rsidRPr="00EF6D2C">
        <w:rPr>
          <w:rFonts w:ascii="Times New Roman" w:hAnsi="Times New Roman" w:cs="Times New Roman"/>
          <w:bCs/>
          <w:sz w:val="24"/>
          <w:szCs w:val="24"/>
        </w:rPr>
        <w:t>immediate corrective feedback</w:t>
      </w:r>
      <w:r w:rsidRPr="00EF6D2C">
        <w:rPr>
          <w:rFonts w:ascii="Times New Roman" w:hAnsi="Times New Roman" w:cs="Times New Roman"/>
          <w:sz w:val="24"/>
          <w:szCs w:val="24"/>
        </w:rPr>
        <w:t xml:space="preserve"> allows incorrect understanding to be identified and reviewed; </w:t>
      </w:r>
      <w:r w:rsidRPr="00EF6D2C">
        <w:rPr>
          <w:rFonts w:ascii="Times New Roman" w:hAnsi="Times New Roman" w:cs="Times New Roman"/>
          <w:bCs/>
          <w:sz w:val="24"/>
          <w:szCs w:val="24"/>
        </w:rPr>
        <w:t>repeated quiz opportunities</w:t>
      </w:r>
      <w:r w:rsidRPr="00EF6D2C">
        <w:rPr>
          <w:rFonts w:ascii="Times New Roman" w:hAnsi="Times New Roman" w:cs="Times New Roman"/>
          <w:sz w:val="24"/>
          <w:szCs w:val="24"/>
        </w:rPr>
        <w:t xml:space="preserve"> increase encounters with target vocabulary; and </w:t>
      </w:r>
      <w:r w:rsidRPr="00EF6D2C">
        <w:rPr>
          <w:rFonts w:ascii="Times New Roman" w:hAnsi="Times New Roman" w:cs="Times New Roman"/>
          <w:bCs/>
          <w:sz w:val="24"/>
          <w:szCs w:val="24"/>
        </w:rPr>
        <w:t>flexible access</w:t>
      </w:r>
      <w:r w:rsidRPr="00EF6D2C">
        <w:rPr>
          <w:rFonts w:ascii="Times New Roman" w:hAnsi="Times New Roman" w:cs="Times New Roman"/>
          <w:sz w:val="24"/>
          <w:szCs w:val="24"/>
        </w:rPr>
        <w:t xml:space="preserve"> extends vocabulary practice beyond limited classroom time. Together, these affordances can support a continuous cycle of retrieval, feedback, review, and reinforcement.</w:t>
      </w:r>
    </w:p>
    <w:p w14:paraId="0D9C470C"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This connection is important because simply using a digital platform does not automatically make an assessment formative. Its formative value depends on whether the information generated by the assessment is used to support subsequent learning. When Google Forms is designed to provide immediate feedback and repeated opportunities to engage with target vocabulary, it can function as more than an efficient testing platform. Instead, it can become a learning environment in which assessment activities themselves contribute to vocabulary development. Previous research has demonstrated the potential of digital tools to facilitate feedback, learning-data collection, and student reflection (Bond et al., 2021; Moorhouse &amp; Kohnke, 2023; Singaram, 2022). Nevertheless, these benefits have been examined more extensively in general educational and language-learning settings than in specialized Maritime English vocabulary instruction.</w:t>
      </w:r>
    </w:p>
    <w:p w14:paraId="3F5E3E19" w14:textId="77777777" w:rsidR="00E8730B"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In maritime education, this distinction is particularly relevant because vocabulary knowledge is connected to professional and safety-sensitive communication. Existing research has recognized the potential contribution of digital tools to Maritime English learning (Masita &amp; </w:t>
      </w:r>
      <w:proofErr w:type="spellStart"/>
      <w:r w:rsidRPr="00EF6D2C">
        <w:rPr>
          <w:rFonts w:ascii="Times New Roman" w:hAnsi="Times New Roman" w:cs="Times New Roman"/>
          <w:sz w:val="24"/>
          <w:szCs w:val="24"/>
        </w:rPr>
        <w:t>Fitri</w:t>
      </w:r>
      <w:proofErr w:type="spellEnd"/>
      <w:r w:rsidRPr="00EF6D2C">
        <w:rPr>
          <w:rFonts w:ascii="Times New Roman" w:hAnsi="Times New Roman" w:cs="Times New Roman"/>
          <w:sz w:val="24"/>
          <w:szCs w:val="24"/>
        </w:rPr>
        <w:t xml:space="preserve">, 2020; Sofyan et al., 2025), yet limited evidence explains how digital formative assessment can systematically reinforce specialized maritime vocabulary through repeated retrieval and immediate feedback. The present study addresses this intersection by examining Google Forms not merely as a medium for administering vocabulary tests but as a formative mechanism that integrates </w:t>
      </w:r>
      <w:r w:rsidRPr="00EF6D2C">
        <w:rPr>
          <w:rFonts w:ascii="Times New Roman" w:hAnsi="Times New Roman" w:cs="Times New Roman"/>
          <w:bCs/>
          <w:sz w:val="24"/>
          <w:szCs w:val="24"/>
        </w:rPr>
        <w:t>continuous assessment, repeated vocabulary practice, and immediate corrective feedback</w:t>
      </w:r>
      <w:r w:rsidRPr="00EF6D2C">
        <w:rPr>
          <w:rFonts w:ascii="Times New Roman" w:hAnsi="Times New Roman" w:cs="Times New Roman"/>
          <w:sz w:val="24"/>
          <w:szCs w:val="24"/>
        </w:rPr>
        <w:t xml:space="preserve"> within nautical education.</w:t>
      </w:r>
    </w:p>
    <w:p w14:paraId="1D811B67" w14:textId="77777777" w:rsidR="0057214E"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Based on the </w:t>
      </w:r>
      <w:r w:rsidR="006238CC" w:rsidRPr="00EF6D2C">
        <w:rPr>
          <w:rFonts w:ascii="Times New Roman" w:hAnsi="Times New Roman" w:cs="Times New Roman"/>
          <w:sz w:val="24"/>
          <w:szCs w:val="24"/>
        </w:rPr>
        <w:t xml:space="preserve">literature, this study's conceptual rationale </w:t>
      </w:r>
      <w:r w:rsidRPr="00EF6D2C">
        <w:rPr>
          <w:rFonts w:ascii="Times New Roman" w:hAnsi="Times New Roman" w:cs="Times New Roman"/>
          <w:sz w:val="24"/>
          <w:szCs w:val="24"/>
        </w:rPr>
        <w:t>proposes that Google</w:t>
      </w:r>
      <w:r w:rsidRPr="00EF6D2C">
        <w:rPr>
          <w:rFonts w:ascii="Times New Roman" w:hAnsi="Times New Roman" w:cs="Times New Roman"/>
          <w:b/>
          <w:sz w:val="24"/>
          <w:szCs w:val="24"/>
        </w:rPr>
        <w:t xml:space="preserve"> </w:t>
      </w:r>
      <w:r w:rsidRPr="00EF6D2C">
        <w:rPr>
          <w:rFonts w:ascii="Times New Roman" w:hAnsi="Times New Roman" w:cs="Times New Roman"/>
          <w:sz w:val="24"/>
          <w:szCs w:val="24"/>
        </w:rPr>
        <w:t xml:space="preserve">Forms-based formative assessment may support maritime vocabulary development through an interconnected learning process. Regular digital formative quizzes </w:t>
      </w:r>
      <w:r w:rsidRPr="00EF6D2C">
        <w:rPr>
          <w:rFonts w:ascii="Times New Roman" w:hAnsi="Times New Roman" w:cs="Times New Roman"/>
          <w:sz w:val="24"/>
          <w:szCs w:val="24"/>
        </w:rPr>
        <w:lastRenderedPageBreak/>
        <w:t xml:space="preserve">provide repeated opportunities for students to retrieve specialized maritime terminology. Automated scoring and immediate feedback subsequently make errors visible, while opportunities for review and repeated practice enable students to correct and reinforce their vocabulary knowledge. In this framework, Google Forms </w:t>
      </w:r>
      <w:r w:rsidR="006238CC" w:rsidRPr="00EF6D2C">
        <w:rPr>
          <w:rFonts w:ascii="Times New Roman" w:hAnsi="Times New Roman" w:cs="Times New Roman"/>
          <w:sz w:val="24"/>
          <w:szCs w:val="24"/>
        </w:rPr>
        <w:t>serves as the technological medium, formative assessment as the pedagogical process, and improved mastery of maritime vocabulary as</w:t>
      </w:r>
      <w:r w:rsidRPr="00EF6D2C">
        <w:rPr>
          <w:rFonts w:ascii="Times New Roman" w:hAnsi="Times New Roman" w:cs="Times New Roman"/>
          <w:sz w:val="24"/>
          <w:szCs w:val="24"/>
        </w:rPr>
        <w:t xml:space="preserve"> the expected learning outcome. This theoretical integration provides the basis for examining whether systematic implementation of Google Forms-based formative assessment contributes to measurable improvement in nautical students' maritime vocabulary.</w:t>
      </w:r>
    </w:p>
    <w:p w14:paraId="7D04FB7B" w14:textId="77777777" w:rsidR="0057214E" w:rsidRPr="00EF6D2C" w:rsidRDefault="0057214E"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t>METHOD</w:t>
      </w:r>
    </w:p>
    <w:p w14:paraId="43309F4F" w14:textId="4F8D7A95" w:rsidR="0057214E" w:rsidRPr="00EF6D2C" w:rsidRDefault="0057214E"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t>Design</w:t>
      </w:r>
      <w:r w:rsidR="00EF6D2C" w:rsidRPr="00EF6D2C">
        <w:rPr>
          <w:rFonts w:ascii="Times New Roman" w:hAnsi="Times New Roman" w:cs="Times New Roman"/>
          <w:b/>
          <w:sz w:val="24"/>
          <w:szCs w:val="24"/>
        </w:rPr>
        <w:t xml:space="preserve"> and Sample</w:t>
      </w:r>
    </w:p>
    <w:p w14:paraId="3B5C7CAE" w14:textId="77777777" w:rsidR="0057214E" w:rsidRPr="00EF6D2C" w:rsidRDefault="00E8730B"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This study employed a quantitative pre-experimental</w:t>
      </w:r>
      <w:r w:rsidR="004C3CB6" w:rsidRPr="00EF6D2C">
        <w:rPr>
          <w:rFonts w:ascii="Times New Roman" w:hAnsi="Times New Roman" w:cs="Times New Roman"/>
          <w:sz w:val="24"/>
          <w:szCs w:val="24"/>
        </w:rPr>
        <w:t>,</w:t>
      </w:r>
      <w:r w:rsidR="006238CC" w:rsidRPr="00EF6D2C">
        <w:rPr>
          <w:rFonts w:ascii="Times New Roman" w:hAnsi="Times New Roman" w:cs="Times New Roman"/>
          <w:sz w:val="24"/>
          <w:szCs w:val="24"/>
        </w:rPr>
        <w:t xml:space="preserve"> one-group pretest–posttest design to investigate changes in nautical students' mastery of maritime vocabulary </w:t>
      </w:r>
      <w:r w:rsidRPr="00EF6D2C">
        <w:rPr>
          <w:rFonts w:ascii="Times New Roman" w:hAnsi="Times New Roman" w:cs="Times New Roman"/>
          <w:sz w:val="24"/>
          <w:szCs w:val="24"/>
        </w:rPr>
        <w:t>following the implementation of Google Forms-based formative assessment. The design involved measuring the same participants before and after the intervention, allowing changes in vocabulary scores to be examined within a single group. The research design can be represented as follows:</w:t>
      </w:r>
    </w:p>
    <w:p w14:paraId="6627F706" w14:textId="77777777" w:rsidR="007643CD" w:rsidRPr="00EF6D2C" w:rsidRDefault="00D247A6" w:rsidP="00EF6D2C">
      <w:pPr>
        <w:spacing w:after="0" w:line="240" w:lineRule="auto"/>
        <w:jc w:val="both"/>
        <w:rPr>
          <w:rFonts w:ascii="Times New Roman" w:hAnsi="Times New Roman" w:cs="Times New Roman"/>
          <w:sz w:val="24"/>
          <w:szCs w:val="24"/>
        </w:rPr>
      </w:pPr>
      <w:r w:rsidRPr="00EF6D2C">
        <w:rPr>
          <w:rFonts w:ascii="Times New Roman" w:hAnsi="Times New Roman" w:cs="Times New Roman"/>
          <w:noProof/>
          <w:sz w:val="24"/>
          <w:szCs w:val="24"/>
        </w:rPr>
        <w:drawing>
          <wp:anchor distT="0" distB="0" distL="114300" distR="114300" simplePos="0" relativeHeight="251658240" behindDoc="0" locked="0" layoutInCell="1" allowOverlap="1" wp14:anchorId="3C1B0655" wp14:editId="73CEBB20">
            <wp:simplePos x="0" y="0"/>
            <wp:positionH relativeFrom="column">
              <wp:posOffset>1320800</wp:posOffset>
            </wp:positionH>
            <wp:positionV relativeFrom="paragraph">
              <wp:posOffset>76835</wp:posOffset>
            </wp:positionV>
            <wp:extent cx="3268345" cy="415925"/>
            <wp:effectExtent l="12700" t="25400" r="20955" b="41275"/>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p w14:paraId="7B318E33" w14:textId="77777777" w:rsidR="00EF6D2C" w:rsidRPr="00EF6D2C" w:rsidRDefault="00EF6D2C" w:rsidP="00EF6D2C">
      <w:pPr>
        <w:keepNext/>
        <w:spacing w:after="60" w:line="240" w:lineRule="auto"/>
        <w:jc w:val="both"/>
        <w:rPr>
          <w:rFonts w:ascii="Times New Roman" w:hAnsi="Times New Roman" w:cs="Times New Roman"/>
          <w:b/>
          <w:sz w:val="24"/>
          <w:szCs w:val="24"/>
        </w:rPr>
      </w:pPr>
    </w:p>
    <w:p w14:paraId="32F46D64" w14:textId="77777777" w:rsidR="00EF6D2C" w:rsidRPr="00EF6D2C" w:rsidRDefault="00EF6D2C" w:rsidP="00EF6D2C">
      <w:pPr>
        <w:keepNext/>
        <w:spacing w:after="60" w:line="240" w:lineRule="auto"/>
        <w:jc w:val="both"/>
        <w:rPr>
          <w:rFonts w:ascii="Times New Roman" w:hAnsi="Times New Roman" w:cs="Times New Roman"/>
          <w:b/>
          <w:sz w:val="24"/>
          <w:szCs w:val="24"/>
        </w:rPr>
      </w:pPr>
    </w:p>
    <w:p w14:paraId="263C9CE3" w14:textId="58E3B71B" w:rsidR="007643CD" w:rsidRPr="00EF6D2C" w:rsidRDefault="00E8730B" w:rsidP="00EF6D2C">
      <w:pPr>
        <w:keepNext/>
        <w:spacing w:after="60" w:line="240" w:lineRule="auto"/>
        <w:jc w:val="center"/>
        <w:rPr>
          <w:rFonts w:ascii="Times New Roman" w:hAnsi="Times New Roman" w:cs="Times New Roman"/>
          <w:bCs/>
          <w:i/>
          <w:iCs/>
          <w:sz w:val="24"/>
          <w:szCs w:val="24"/>
        </w:rPr>
      </w:pPr>
      <w:r w:rsidRPr="00EF6D2C">
        <w:rPr>
          <w:rFonts w:ascii="Times New Roman" w:hAnsi="Times New Roman" w:cs="Times New Roman"/>
          <w:bCs/>
          <w:i/>
          <w:iCs/>
          <w:sz w:val="24"/>
          <w:szCs w:val="24"/>
        </w:rPr>
        <w:t>Figure 2</w:t>
      </w:r>
      <w:r w:rsidR="00444C3C" w:rsidRPr="00EF6D2C">
        <w:rPr>
          <w:rFonts w:ascii="Times New Roman" w:hAnsi="Times New Roman" w:cs="Times New Roman"/>
          <w:bCs/>
          <w:i/>
          <w:iCs/>
          <w:sz w:val="24"/>
          <w:szCs w:val="24"/>
        </w:rPr>
        <w:t>. Q</w:t>
      </w:r>
      <w:r w:rsidR="007643CD" w:rsidRPr="00EF6D2C">
        <w:rPr>
          <w:rFonts w:ascii="Times New Roman" w:hAnsi="Times New Roman" w:cs="Times New Roman"/>
          <w:bCs/>
          <w:i/>
          <w:iCs/>
          <w:sz w:val="24"/>
          <w:szCs w:val="24"/>
        </w:rPr>
        <w:t>uantitative pre-experimental</w:t>
      </w:r>
      <w:r w:rsidR="00444C3C" w:rsidRPr="00EF6D2C">
        <w:rPr>
          <w:rFonts w:ascii="Times New Roman" w:hAnsi="Times New Roman" w:cs="Times New Roman"/>
          <w:bCs/>
          <w:i/>
          <w:iCs/>
          <w:sz w:val="24"/>
          <w:szCs w:val="24"/>
        </w:rPr>
        <w:t xml:space="preserve"> research design</w:t>
      </w:r>
    </w:p>
    <w:p w14:paraId="5CB4C65C" w14:textId="77777777" w:rsidR="00EF6D2C" w:rsidRPr="00EF6D2C" w:rsidRDefault="00EF6D2C" w:rsidP="00EF6D2C">
      <w:pPr>
        <w:spacing w:after="240" w:line="240" w:lineRule="auto"/>
        <w:jc w:val="both"/>
        <w:rPr>
          <w:rFonts w:ascii="Times New Roman" w:hAnsi="Times New Roman" w:cs="Times New Roman"/>
          <w:sz w:val="24"/>
          <w:szCs w:val="24"/>
        </w:rPr>
      </w:pPr>
    </w:p>
    <w:p w14:paraId="548D4F71" w14:textId="77777777" w:rsidR="00EF6D2C" w:rsidRPr="00EF6D2C" w:rsidRDefault="00EF6D2C"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W</w:t>
      </w:r>
      <w:r w:rsidR="006238CC" w:rsidRPr="00EF6D2C">
        <w:rPr>
          <w:rFonts w:ascii="Times New Roman" w:hAnsi="Times New Roman" w:cs="Times New Roman"/>
          <w:sz w:val="24"/>
          <w:szCs w:val="24"/>
        </w:rPr>
        <w:t xml:space="preserve">here </w:t>
      </w:r>
      <w:r w:rsidR="006238CC" w:rsidRPr="00EF6D2C">
        <w:rPr>
          <w:rFonts w:ascii="Times New Roman" w:hAnsi="Times New Roman" w:cs="Times New Roman"/>
          <w:bCs/>
          <w:sz w:val="24"/>
          <w:szCs w:val="24"/>
        </w:rPr>
        <w:t>O₁</w:t>
      </w:r>
      <w:r w:rsidR="006238CC" w:rsidRPr="00EF6D2C">
        <w:rPr>
          <w:rFonts w:ascii="Times New Roman" w:hAnsi="Times New Roman" w:cs="Times New Roman"/>
          <w:sz w:val="24"/>
          <w:szCs w:val="24"/>
        </w:rPr>
        <w:t xml:space="preserve"> represents the pre-test, </w:t>
      </w:r>
      <w:r w:rsidR="006238CC" w:rsidRPr="00EF6D2C">
        <w:rPr>
          <w:rFonts w:ascii="Times New Roman" w:hAnsi="Times New Roman" w:cs="Times New Roman"/>
          <w:bCs/>
          <w:sz w:val="24"/>
          <w:szCs w:val="24"/>
        </w:rPr>
        <w:t>X</w:t>
      </w:r>
      <w:r w:rsidR="006238CC" w:rsidRPr="00EF6D2C">
        <w:rPr>
          <w:rFonts w:ascii="Times New Roman" w:hAnsi="Times New Roman" w:cs="Times New Roman"/>
          <w:sz w:val="24"/>
          <w:szCs w:val="24"/>
        </w:rPr>
        <w:t xml:space="preserve"> represents the implementation of Google Forms-based formative assessment, and </w:t>
      </w:r>
      <w:r w:rsidR="006238CC" w:rsidRPr="00EF6D2C">
        <w:rPr>
          <w:rFonts w:ascii="Times New Roman" w:hAnsi="Times New Roman" w:cs="Times New Roman"/>
          <w:bCs/>
          <w:sz w:val="24"/>
          <w:szCs w:val="24"/>
        </w:rPr>
        <w:t>O₂</w:t>
      </w:r>
      <w:r w:rsidR="006238CC" w:rsidRPr="00EF6D2C">
        <w:rPr>
          <w:rFonts w:ascii="Times New Roman" w:hAnsi="Times New Roman" w:cs="Times New Roman"/>
          <w:sz w:val="24"/>
          <w:szCs w:val="24"/>
        </w:rPr>
        <w:t xml:space="preserve"> represents the post-test. The pre-test was administered to establish students' initial mastery of the target maritime vocabulary. This was followed by a series of Google Forms-based formative assessment activities integrated into Maritime English instruction. After the intervention, the post-test was administered to determine changes in students' vocabulary achievement. Given the absence of a comparison group, the design was intended to provide preliminary evidence of vocabulary improvement associated with the intervention rather than establish definitive causal effects.</w:t>
      </w:r>
    </w:p>
    <w:p w14:paraId="4537B1C0" w14:textId="69559898" w:rsidR="00D634A0" w:rsidRPr="00EF6D2C" w:rsidRDefault="006238CC"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The participants were 25 students enrolled i</w:t>
      </w:r>
      <w:r w:rsidR="004C3CB6" w:rsidRPr="00EF6D2C">
        <w:rPr>
          <w:rFonts w:ascii="Times New Roman" w:hAnsi="Times New Roman" w:cs="Times New Roman"/>
          <w:sz w:val="24"/>
          <w:szCs w:val="24"/>
        </w:rPr>
        <w:t xml:space="preserve">n the Nautical Study Program </w:t>
      </w:r>
      <w:r w:rsidRPr="00EF6D2C">
        <w:rPr>
          <w:rFonts w:ascii="Times New Roman" w:hAnsi="Times New Roman" w:cs="Times New Roman"/>
          <w:sz w:val="24"/>
          <w:szCs w:val="24"/>
        </w:rPr>
        <w:t xml:space="preserve">in Sorong during the </w:t>
      </w:r>
      <w:r w:rsidR="004C3CB6" w:rsidRPr="00EF6D2C">
        <w:rPr>
          <w:rFonts w:ascii="Times New Roman" w:hAnsi="Times New Roman" w:cs="Times New Roman"/>
          <w:bCs/>
          <w:sz w:val="24"/>
          <w:szCs w:val="24"/>
        </w:rPr>
        <w:t>2025</w:t>
      </w:r>
      <w:r w:rsidRPr="00EF6D2C">
        <w:rPr>
          <w:rFonts w:ascii="Times New Roman" w:hAnsi="Times New Roman" w:cs="Times New Roman"/>
          <w:bCs/>
          <w:sz w:val="24"/>
          <w:szCs w:val="24"/>
        </w:rPr>
        <w:t>/</w:t>
      </w:r>
      <w:r w:rsidR="004C3CB6" w:rsidRPr="00EF6D2C">
        <w:rPr>
          <w:rFonts w:ascii="Times New Roman" w:hAnsi="Times New Roman" w:cs="Times New Roman"/>
          <w:bCs/>
          <w:sz w:val="24"/>
          <w:szCs w:val="24"/>
        </w:rPr>
        <w:t>2026 year</w:t>
      </w:r>
      <w:r w:rsidRPr="00EF6D2C">
        <w:rPr>
          <w:rFonts w:ascii="Times New Roman" w:hAnsi="Times New Roman" w:cs="Times New Roman"/>
          <w:sz w:val="24"/>
          <w:szCs w:val="24"/>
        </w:rPr>
        <w:t>. The participants were undertaking a Maritime English course as part of their professional preparation to become maritime officers.</w:t>
      </w:r>
      <w:r w:rsidR="00EF6D2C" w:rsidRPr="00EF6D2C">
        <w:rPr>
          <w:rFonts w:ascii="Times New Roman" w:hAnsi="Times New Roman" w:cs="Times New Roman"/>
          <w:b/>
          <w:sz w:val="24"/>
          <w:szCs w:val="24"/>
        </w:rPr>
        <w:t xml:space="preserve"> </w:t>
      </w:r>
      <w:r w:rsidRPr="00EF6D2C">
        <w:rPr>
          <w:rFonts w:ascii="Times New Roman" w:hAnsi="Times New Roman" w:cs="Times New Roman"/>
          <w:sz w:val="24"/>
          <w:szCs w:val="24"/>
        </w:rPr>
        <w:t xml:space="preserve">Purposive sampling was employed because the study required participants who were actively receiving Maritime English instruction and learning specialized vocabulary directly related to their professional field. The participants were therefore selected based on three inclusion criteria: </w:t>
      </w:r>
      <w:r w:rsidRPr="00EF6D2C">
        <w:rPr>
          <w:rFonts w:ascii="Times New Roman" w:hAnsi="Times New Roman" w:cs="Times New Roman"/>
          <w:bCs/>
          <w:sz w:val="24"/>
          <w:szCs w:val="24"/>
        </w:rPr>
        <w:t>(1)</w:t>
      </w:r>
      <w:r w:rsidRPr="00EF6D2C">
        <w:rPr>
          <w:rFonts w:ascii="Times New Roman" w:hAnsi="Times New Roman" w:cs="Times New Roman"/>
          <w:sz w:val="24"/>
          <w:szCs w:val="24"/>
        </w:rPr>
        <w:t xml:space="preserve"> enrollment in the Nautical Study Program, </w:t>
      </w:r>
      <w:r w:rsidRPr="00EF6D2C">
        <w:rPr>
          <w:rFonts w:ascii="Times New Roman" w:hAnsi="Times New Roman" w:cs="Times New Roman"/>
          <w:bCs/>
          <w:sz w:val="24"/>
          <w:szCs w:val="24"/>
        </w:rPr>
        <w:t>(2)</w:t>
      </w:r>
      <w:r w:rsidRPr="00EF6D2C">
        <w:rPr>
          <w:rFonts w:ascii="Times New Roman" w:hAnsi="Times New Roman" w:cs="Times New Roman"/>
          <w:sz w:val="24"/>
          <w:szCs w:val="24"/>
        </w:rPr>
        <w:t xml:space="preserve"> active participation in the Maritime English course during the period of data collection, and </w:t>
      </w:r>
      <w:r w:rsidRPr="00EF6D2C">
        <w:rPr>
          <w:rFonts w:ascii="Times New Roman" w:hAnsi="Times New Roman" w:cs="Times New Roman"/>
          <w:bCs/>
          <w:sz w:val="24"/>
          <w:szCs w:val="24"/>
        </w:rPr>
        <w:t>(3)</w:t>
      </w:r>
      <w:r w:rsidRPr="00EF6D2C">
        <w:rPr>
          <w:rFonts w:ascii="Times New Roman" w:hAnsi="Times New Roman" w:cs="Times New Roman"/>
          <w:sz w:val="24"/>
          <w:szCs w:val="24"/>
        </w:rPr>
        <w:t xml:space="preserve"> exposure to the target maritime vocabulary </w:t>
      </w:r>
      <w:r w:rsidRPr="00EF6D2C">
        <w:rPr>
          <w:rFonts w:ascii="Times New Roman" w:hAnsi="Times New Roman" w:cs="Times New Roman"/>
          <w:sz w:val="24"/>
          <w:szCs w:val="24"/>
        </w:rPr>
        <w:lastRenderedPageBreak/>
        <w:t xml:space="preserve">covered by the intervention. The sampling strategy was considered appropriate because the study focused on the effectiveness of a specific instructional intervention within an intact group of nautical students rather than attempting to represent the broader </w:t>
      </w:r>
      <w:r w:rsidR="00831288" w:rsidRPr="00EF6D2C">
        <w:rPr>
          <w:rFonts w:ascii="Times New Roman" w:hAnsi="Times New Roman" w:cs="Times New Roman"/>
          <w:sz w:val="24"/>
          <w:szCs w:val="24"/>
        </w:rPr>
        <w:t>university student population</w:t>
      </w:r>
      <w:r w:rsidR="00EF6D2C" w:rsidRPr="00EF6D2C">
        <w:rPr>
          <w:rFonts w:ascii="Times New Roman" w:hAnsi="Times New Roman" w:cs="Times New Roman"/>
          <w:sz w:val="24"/>
          <w:szCs w:val="24"/>
        </w:rPr>
        <w:t xml:space="preserve">. </w:t>
      </w:r>
      <w:r w:rsidRPr="00EF6D2C">
        <w:rPr>
          <w:rFonts w:ascii="Times New Roman" w:hAnsi="Times New Roman" w:cs="Times New Roman"/>
          <w:sz w:val="24"/>
          <w:szCs w:val="24"/>
        </w:rPr>
        <w:t xml:space="preserve">The relatively small sample size reflected the number of students </w:t>
      </w:r>
      <w:r w:rsidR="00831288" w:rsidRPr="00EF6D2C">
        <w:rPr>
          <w:rFonts w:ascii="Times New Roman" w:hAnsi="Times New Roman" w:cs="Times New Roman"/>
          <w:sz w:val="24"/>
          <w:szCs w:val="24"/>
        </w:rPr>
        <w:t>in the intact class who participated</w:t>
      </w:r>
      <w:r w:rsidRPr="00EF6D2C">
        <w:rPr>
          <w:rFonts w:ascii="Times New Roman" w:hAnsi="Times New Roman" w:cs="Times New Roman"/>
          <w:sz w:val="24"/>
          <w:szCs w:val="24"/>
        </w:rPr>
        <w:t xml:space="preserve"> in the intervention. Consequently, the findings are interpreted within this specific educational context, and generalization to broader populations should be approached cautiously.</w:t>
      </w:r>
    </w:p>
    <w:p w14:paraId="04AAF86E" w14:textId="01AFF8EF" w:rsidR="00D634A0" w:rsidRPr="00EF6D2C" w:rsidRDefault="00D634A0"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t>Instruments</w:t>
      </w:r>
      <w:r w:rsidR="00EF6D2C" w:rsidRPr="00EF6D2C">
        <w:rPr>
          <w:rFonts w:ascii="Times New Roman" w:hAnsi="Times New Roman" w:cs="Times New Roman"/>
          <w:b/>
          <w:sz w:val="24"/>
          <w:szCs w:val="24"/>
        </w:rPr>
        <w:t xml:space="preserve"> and Procedure</w:t>
      </w:r>
    </w:p>
    <w:p w14:paraId="13E85297" w14:textId="72DA3B6E" w:rsidR="00BC7115" w:rsidRPr="00EF6D2C" w:rsidRDefault="006238CC"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The primary research instrument was a maritime vocabulary achievement test designed to measure students' knowledge of specialized terminology relevant to nautical education. The target vocabulary covered four major domains: </w:t>
      </w:r>
      <w:r w:rsidRPr="00EF6D2C">
        <w:rPr>
          <w:rFonts w:ascii="Times New Roman" w:hAnsi="Times New Roman" w:cs="Times New Roman"/>
          <w:bCs/>
          <w:sz w:val="24"/>
          <w:szCs w:val="24"/>
        </w:rPr>
        <w:t>navigation, ship parts and operations, safety procedures, and maritime communication</w:t>
      </w:r>
      <w:r w:rsidRPr="00EF6D2C">
        <w:rPr>
          <w:rFonts w:ascii="Times New Roman" w:hAnsi="Times New Roman" w:cs="Times New Roman"/>
          <w:sz w:val="24"/>
          <w:szCs w:val="24"/>
        </w:rPr>
        <w:t xml:space="preserve">. The test consisted of </w:t>
      </w:r>
      <w:r w:rsidRPr="00EF6D2C">
        <w:rPr>
          <w:rFonts w:ascii="Times New Roman" w:hAnsi="Times New Roman" w:cs="Times New Roman"/>
          <w:bCs/>
          <w:sz w:val="24"/>
          <w:szCs w:val="24"/>
        </w:rPr>
        <w:t>40 items</w:t>
      </w:r>
      <w:r w:rsidRPr="00EF6D2C">
        <w:rPr>
          <w:rFonts w:ascii="Times New Roman" w:hAnsi="Times New Roman" w:cs="Times New Roman"/>
          <w:sz w:val="24"/>
          <w:szCs w:val="24"/>
        </w:rPr>
        <w:t xml:space="preserve">, including </w:t>
      </w:r>
      <w:r w:rsidR="00BC7115" w:rsidRPr="00EF6D2C">
        <w:rPr>
          <w:rFonts w:ascii="Times New Roman" w:hAnsi="Times New Roman" w:cs="Times New Roman"/>
          <w:bCs/>
          <w:sz w:val="24"/>
          <w:szCs w:val="24"/>
        </w:rPr>
        <w:t>10 multiple-choice items, ten fill-in-the-blank items, ten</w:t>
      </w:r>
      <w:r w:rsidR="00831288" w:rsidRPr="00EF6D2C">
        <w:rPr>
          <w:rFonts w:ascii="Times New Roman" w:hAnsi="Times New Roman" w:cs="Times New Roman"/>
          <w:bCs/>
          <w:sz w:val="24"/>
          <w:szCs w:val="24"/>
        </w:rPr>
        <w:t xml:space="preserve"> matching items,</w:t>
      </w:r>
      <w:r w:rsidRPr="00EF6D2C">
        <w:rPr>
          <w:rFonts w:ascii="Times New Roman" w:hAnsi="Times New Roman" w:cs="Times New Roman"/>
          <w:sz w:val="24"/>
          <w:szCs w:val="24"/>
        </w:rPr>
        <w:t xml:space="preserve"> and </w:t>
      </w:r>
      <w:r w:rsidR="00831288" w:rsidRPr="00EF6D2C">
        <w:rPr>
          <w:rFonts w:ascii="Times New Roman" w:hAnsi="Times New Roman" w:cs="Times New Roman"/>
          <w:bCs/>
          <w:sz w:val="24"/>
          <w:szCs w:val="24"/>
        </w:rPr>
        <w:t>ten re-arrange into the right letter</w:t>
      </w:r>
      <w:r w:rsidRPr="00EF6D2C">
        <w:rPr>
          <w:rFonts w:ascii="Times New Roman" w:hAnsi="Times New Roman" w:cs="Times New Roman"/>
          <w:bCs/>
          <w:sz w:val="24"/>
          <w:szCs w:val="24"/>
        </w:rPr>
        <w:t xml:space="preserve"> items</w:t>
      </w:r>
      <w:r w:rsidRPr="00EF6D2C">
        <w:rPr>
          <w:rFonts w:ascii="Times New Roman" w:hAnsi="Times New Roman" w:cs="Times New Roman"/>
          <w:sz w:val="24"/>
          <w:szCs w:val="24"/>
        </w:rPr>
        <w:t>. The same target vocabulary domains and comparable assessment specifications were used for the pre-test and post-test to ensure that both assessments measured the same construct. The pre-test assessed students' vocabulary knowledge before the intervention, whereas the post-test measured their vocabulary achievement after completing the Google Forms-based formative assessment activities.</w:t>
      </w:r>
      <w:r w:rsidR="00EF6D2C" w:rsidRPr="00EF6D2C">
        <w:rPr>
          <w:rFonts w:ascii="Times New Roman" w:hAnsi="Times New Roman" w:cs="Times New Roman"/>
          <w:sz w:val="24"/>
          <w:szCs w:val="24"/>
        </w:rPr>
        <w:t xml:space="preserve"> </w:t>
      </w:r>
      <w:r w:rsidR="00BC7115" w:rsidRPr="00EF6D2C">
        <w:rPr>
          <w:rFonts w:ascii="Times New Roman" w:hAnsi="Times New Roman" w:cs="Times New Roman"/>
          <w:sz w:val="24"/>
          <w:szCs w:val="24"/>
        </w:rPr>
        <w:t xml:space="preserve">To establish content validity, the vocabulary test was reviewed by two experts with expertise in </w:t>
      </w:r>
      <w:r w:rsidR="00BC7115" w:rsidRPr="00EF6D2C">
        <w:rPr>
          <w:rFonts w:ascii="Times New Roman" w:hAnsi="Times New Roman" w:cs="Times New Roman"/>
          <w:bCs/>
          <w:sz w:val="24"/>
          <w:szCs w:val="24"/>
        </w:rPr>
        <w:t>Maritime English and English language assessment</w:t>
      </w:r>
      <w:r w:rsidR="00BC7115" w:rsidRPr="00EF6D2C">
        <w:rPr>
          <w:rFonts w:ascii="Times New Roman" w:hAnsi="Times New Roman" w:cs="Times New Roman"/>
          <w:sz w:val="24"/>
          <w:szCs w:val="24"/>
        </w:rPr>
        <w:t>. The reviewers evaluated the relevance of the items to the target vocabulary domains, clarity of instructions, linguistic appropriateness, and alignment between the test content and the learning objectives. Revisions were made based on their recommendations before the instrument was administered.</w:t>
      </w:r>
    </w:p>
    <w:p w14:paraId="2AA806DF" w14:textId="77777777" w:rsidR="00EF6D2C" w:rsidRPr="00EF6D2C" w:rsidRDefault="004C3CB6" w:rsidP="00EF6D2C">
      <w:pPr>
        <w:spacing w:after="240" w:line="240" w:lineRule="auto"/>
        <w:jc w:val="both"/>
        <w:rPr>
          <w:rFonts w:ascii="Times New Roman" w:hAnsi="Times New Roman" w:cs="Times New Roman"/>
          <w:sz w:val="24"/>
          <w:szCs w:val="24"/>
        </w:rPr>
      </w:pPr>
      <w:r w:rsidRPr="00EF6D2C">
        <w:rPr>
          <w:rFonts w:ascii="Times New Roman" w:hAnsi="Times New Roman" w:cs="Times New Roman"/>
          <w:sz w:val="24"/>
          <w:szCs w:val="24"/>
        </w:rPr>
        <w:t xml:space="preserve">The intervention consisted of Google Forms-based formative assessments integrated into Maritime English instruction over </w:t>
      </w:r>
      <w:r w:rsidRPr="00EF6D2C">
        <w:rPr>
          <w:rFonts w:ascii="Times New Roman" w:hAnsi="Times New Roman" w:cs="Times New Roman"/>
          <w:bCs/>
          <w:sz w:val="24"/>
          <w:szCs w:val="24"/>
        </w:rPr>
        <w:t>eight sessions</w:t>
      </w:r>
      <w:r w:rsidRPr="00EF6D2C">
        <w:rPr>
          <w:rFonts w:ascii="Times New Roman" w:hAnsi="Times New Roman" w:cs="Times New Roman"/>
          <w:sz w:val="24"/>
          <w:szCs w:val="24"/>
        </w:rPr>
        <w:t xml:space="preserve">. Each quiz focused on specialized vocabulary related to navigation, ship operations, safety procedures, and maritime communication. Google Forms provided automatic scoring and immediate feedback, allowing students to identify errors and review their understanding. The intervention followed a formative learning cycle of </w:t>
      </w:r>
      <w:r w:rsidRPr="00EF6D2C">
        <w:rPr>
          <w:rFonts w:ascii="Times New Roman" w:hAnsi="Times New Roman" w:cs="Times New Roman"/>
          <w:bCs/>
          <w:sz w:val="24"/>
          <w:szCs w:val="24"/>
        </w:rPr>
        <w:t>vocabulary instruction, digital assessment, immediate feedback, and vocabulary review</w:t>
      </w:r>
      <w:r w:rsidRPr="00EF6D2C">
        <w:rPr>
          <w:rFonts w:ascii="Times New Roman" w:hAnsi="Times New Roman" w:cs="Times New Roman"/>
          <w:sz w:val="24"/>
          <w:szCs w:val="24"/>
        </w:rPr>
        <w:t>, providing repeated opportunities to reinforce students' maritime vocabulary mastery.</w:t>
      </w:r>
      <w:r w:rsidR="00EF6D2C" w:rsidRPr="00EF6D2C">
        <w:rPr>
          <w:rFonts w:ascii="Times New Roman" w:hAnsi="Times New Roman" w:cs="Times New Roman"/>
          <w:sz w:val="24"/>
          <w:szCs w:val="24"/>
        </w:rPr>
        <w:t xml:space="preserve"> </w:t>
      </w:r>
      <w:r w:rsidRPr="00EF6D2C">
        <w:rPr>
          <w:rFonts w:ascii="Times New Roman" w:hAnsi="Times New Roman" w:cs="Times New Roman"/>
          <w:sz w:val="24"/>
          <w:szCs w:val="24"/>
        </w:rPr>
        <w:t xml:space="preserve">Data collection was conducted sequentially in three major phases. First, participants completed the pre-test to establish their initial level of mastery of maritime vocabulary. The test was administered under the same instructional conditions for all participants. Second, students participated in an 8-session Google Forms-based formative assessment intervention. Following the introduction and practice of each vocabulary topic, students completed a formative quiz through Google Forms. Immediate feedback was provided after submission, enabling students to identify errors and review the relevant vocabulary. Third, after all formative assessment sessions had been completed, students undertook the post-test. The resulting pre-test and post-test scores were subsequently compiled and </w:t>
      </w:r>
      <w:r w:rsidRPr="00EF6D2C">
        <w:rPr>
          <w:rFonts w:ascii="Times New Roman" w:hAnsi="Times New Roman" w:cs="Times New Roman"/>
          <w:sz w:val="24"/>
          <w:szCs w:val="24"/>
        </w:rPr>
        <w:lastRenderedPageBreak/>
        <w:t>analyzed to determine the magnitude and statistical significance of changes in students' maritime vocabulary achievement.</w:t>
      </w:r>
      <w:r w:rsidR="00EF6D2C" w:rsidRPr="00EF6D2C">
        <w:rPr>
          <w:rFonts w:ascii="Times New Roman" w:hAnsi="Times New Roman" w:cs="Times New Roman"/>
          <w:sz w:val="24"/>
          <w:szCs w:val="24"/>
        </w:rPr>
        <w:t xml:space="preserve"> </w:t>
      </w:r>
    </w:p>
    <w:p w14:paraId="21AA98BE" w14:textId="77777777" w:rsidR="00311CD5" w:rsidRPr="00EF6D2C" w:rsidRDefault="00311CD5" w:rsidP="00EF6D2C">
      <w:pPr>
        <w:keepNext/>
        <w:spacing w:after="24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t>Data Analysis</w:t>
      </w:r>
    </w:p>
    <w:p w14:paraId="28B27A4E" w14:textId="77777777" w:rsidR="008B237F" w:rsidRPr="00EF6D2C" w:rsidRDefault="004C3CB6" w:rsidP="00EF6D2C">
      <w:pPr>
        <w:spacing w:after="240" w:line="240" w:lineRule="auto"/>
        <w:jc w:val="both"/>
        <w:outlineLvl w:val="0"/>
        <w:rPr>
          <w:rFonts w:ascii="Times New Roman" w:hAnsi="Times New Roman" w:cs="Times New Roman"/>
          <w:sz w:val="24"/>
          <w:szCs w:val="24"/>
        </w:rPr>
      </w:pPr>
      <w:r w:rsidRPr="00EF6D2C">
        <w:rPr>
          <w:rFonts w:ascii="Times New Roman" w:hAnsi="Times New Roman" w:cs="Times New Roman"/>
          <w:sz w:val="24"/>
          <w:szCs w:val="24"/>
        </w:rPr>
        <w:t xml:space="preserve">The data were analyzed using descriptive statistics, the Shapiro–Wilk normality test, and a paired-samples </w:t>
      </w:r>
      <w:r w:rsidRPr="00EF6D2C">
        <w:rPr>
          <w:rFonts w:ascii="Times New Roman" w:hAnsi="Times New Roman" w:cs="Times New Roman"/>
          <w:i/>
          <w:iCs/>
          <w:sz w:val="24"/>
          <w:szCs w:val="24"/>
        </w:rPr>
        <w:t>t</w:t>
      </w:r>
      <w:r w:rsidRPr="00EF6D2C">
        <w:rPr>
          <w:rFonts w:ascii="Times New Roman" w:hAnsi="Times New Roman" w:cs="Times New Roman"/>
          <w:sz w:val="24"/>
          <w:szCs w:val="24"/>
        </w:rPr>
        <w:t xml:space="preserve">-test at a significance level of .05. Gain scores were calculated to measure students’ improvement, while Cohen’s </w:t>
      </w:r>
      <w:r w:rsidRPr="00EF6D2C">
        <w:rPr>
          <w:rFonts w:ascii="Times New Roman" w:hAnsi="Times New Roman" w:cs="Times New Roman"/>
          <w:i/>
          <w:iCs/>
          <w:sz w:val="24"/>
          <w:szCs w:val="24"/>
        </w:rPr>
        <w:t>d</w:t>
      </w:r>
      <w:r w:rsidRPr="00EF6D2C">
        <w:rPr>
          <w:rFonts w:ascii="Times New Roman" w:hAnsi="Times New Roman" w:cs="Times New Roman"/>
          <w:sz w:val="24"/>
          <w:szCs w:val="24"/>
        </w:rPr>
        <w:t xml:space="preserve"> was used to determine the effect size and practical significance of the intervention.</w:t>
      </w:r>
    </w:p>
    <w:p w14:paraId="620ACE89" w14:textId="77777777" w:rsidR="008B237F" w:rsidRPr="00EF6D2C" w:rsidRDefault="00C835D0" w:rsidP="00EF6D2C">
      <w:pPr>
        <w:keepNext/>
        <w:spacing w:after="0" w:line="240" w:lineRule="auto"/>
        <w:jc w:val="both"/>
        <w:outlineLvl w:val="0"/>
        <w:rPr>
          <w:rFonts w:ascii="Times New Roman" w:eastAsia="Times New Roman" w:hAnsi="Times New Roman" w:cs="Times New Roman"/>
          <w:b/>
          <w:bCs/>
          <w:kern w:val="36"/>
          <w:sz w:val="24"/>
          <w:szCs w:val="24"/>
        </w:rPr>
      </w:pPr>
      <w:r w:rsidRPr="00EF6D2C">
        <w:rPr>
          <w:rFonts w:ascii="Times New Roman" w:eastAsia="Times New Roman" w:hAnsi="Times New Roman" w:cs="Times New Roman"/>
          <w:b/>
          <w:bCs/>
          <w:kern w:val="36"/>
          <w:sz w:val="24"/>
          <w:szCs w:val="24"/>
        </w:rPr>
        <w:t>RESULT AND DISCUSSION</w:t>
      </w:r>
    </w:p>
    <w:p w14:paraId="26D6AADE" w14:textId="77777777" w:rsidR="00EF6D2C" w:rsidRDefault="00EF6D2C" w:rsidP="00EF6D2C">
      <w:pPr>
        <w:spacing w:after="0" w:line="240" w:lineRule="auto"/>
        <w:jc w:val="both"/>
        <w:rPr>
          <w:rFonts w:ascii="Times New Roman" w:eastAsia="Times New Roman" w:hAnsi="Times New Roman" w:cs="Times New Roman"/>
          <w:sz w:val="24"/>
          <w:szCs w:val="24"/>
        </w:rPr>
      </w:pPr>
    </w:p>
    <w:p w14:paraId="53A2538E" w14:textId="759D190B" w:rsidR="008B237F" w:rsidRPr="00EF6D2C" w:rsidRDefault="0096747B" w:rsidP="00EF6D2C">
      <w:pPr>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The results</w:t>
      </w:r>
      <w:r w:rsidR="008B237F" w:rsidRPr="00EF6D2C">
        <w:rPr>
          <w:rFonts w:ascii="Times New Roman" w:eastAsia="Times New Roman" w:hAnsi="Times New Roman" w:cs="Times New Roman"/>
          <w:sz w:val="24"/>
          <w:szCs w:val="24"/>
        </w:rPr>
        <w:t xml:space="preserve"> of this study were obtained from the analysis of students’ pre-test and post-test scores after the implementation of Google Form-based formative assessment in Maritime English learning. The results indicate that students improved their mastery of maritime vocabulary after participating in the formative assessment activities.</w:t>
      </w:r>
    </w:p>
    <w:p w14:paraId="1EBBE2A0" w14:textId="77777777" w:rsidR="00EF6D2C" w:rsidRDefault="00EF6D2C" w:rsidP="00EF6D2C">
      <w:pPr>
        <w:keepNext/>
        <w:spacing w:after="0" w:line="240" w:lineRule="auto"/>
        <w:jc w:val="both"/>
        <w:outlineLvl w:val="1"/>
        <w:rPr>
          <w:rFonts w:ascii="Times New Roman" w:eastAsia="Times New Roman" w:hAnsi="Times New Roman" w:cs="Times New Roman"/>
          <w:b/>
          <w:bCs/>
          <w:sz w:val="24"/>
          <w:szCs w:val="24"/>
        </w:rPr>
      </w:pPr>
    </w:p>
    <w:p w14:paraId="156C5D1C" w14:textId="1465C178" w:rsidR="008B237F" w:rsidRPr="00EF6D2C" w:rsidRDefault="008B237F" w:rsidP="00EF6D2C">
      <w:pPr>
        <w:keepNext/>
        <w:spacing w:after="0" w:line="240" w:lineRule="auto"/>
        <w:jc w:val="both"/>
        <w:outlineLvl w:val="1"/>
        <w:rPr>
          <w:rFonts w:ascii="Times New Roman" w:eastAsia="Times New Roman" w:hAnsi="Times New Roman" w:cs="Times New Roman"/>
          <w:b/>
          <w:bCs/>
          <w:sz w:val="24"/>
          <w:szCs w:val="24"/>
        </w:rPr>
      </w:pPr>
      <w:r w:rsidRPr="00EF6D2C">
        <w:rPr>
          <w:rFonts w:ascii="Times New Roman" w:eastAsia="Times New Roman" w:hAnsi="Times New Roman" w:cs="Times New Roman"/>
          <w:b/>
          <w:bCs/>
          <w:sz w:val="24"/>
          <w:szCs w:val="24"/>
        </w:rPr>
        <w:t>Descriptive Statistics</w:t>
      </w:r>
    </w:p>
    <w:p w14:paraId="61299218" w14:textId="77777777" w:rsidR="00EF6D2C" w:rsidRDefault="00EF6D2C" w:rsidP="00EF6D2C">
      <w:pPr>
        <w:keepNext/>
        <w:spacing w:after="0" w:line="240" w:lineRule="auto"/>
        <w:jc w:val="both"/>
        <w:rPr>
          <w:rFonts w:ascii="Times New Roman" w:eastAsia="Times New Roman" w:hAnsi="Times New Roman" w:cs="Times New Roman"/>
          <w:sz w:val="24"/>
          <w:szCs w:val="24"/>
        </w:rPr>
      </w:pPr>
    </w:p>
    <w:p w14:paraId="793CAB93" w14:textId="28F1D949" w:rsidR="008B237F" w:rsidRDefault="00EC0D26" w:rsidP="00EF6D2C">
      <w:pPr>
        <w:keepNext/>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Table 1 presents the descriptive statistics for students' maritime vocabulary scores before and after the implementation of Google Forms-based formative assessment. The mean score increased from 63.36 (</w:t>
      </w:r>
      <w:r w:rsidRPr="00EF6D2C">
        <w:rPr>
          <w:rFonts w:ascii="Times New Roman" w:eastAsia="Times New Roman" w:hAnsi="Times New Roman" w:cs="Times New Roman"/>
          <w:i/>
          <w:iCs/>
          <w:sz w:val="24"/>
          <w:szCs w:val="24"/>
        </w:rPr>
        <w:t>SD</w:t>
      </w:r>
      <w:r w:rsidRPr="00EF6D2C">
        <w:rPr>
          <w:rFonts w:ascii="Times New Roman" w:eastAsia="Times New Roman" w:hAnsi="Times New Roman" w:cs="Times New Roman"/>
          <w:sz w:val="24"/>
          <w:szCs w:val="24"/>
        </w:rPr>
        <w:t xml:space="preserve"> = 8.74) in the pre-test to 86.48 (</w:t>
      </w:r>
      <w:r w:rsidRPr="00EF6D2C">
        <w:rPr>
          <w:rFonts w:ascii="Times New Roman" w:eastAsia="Times New Roman" w:hAnsi="Times New Roman" w:cs="Times New Roman"/>
          <w:i/>
          <w:iCs/>
          <w:sz w:val="24"/>
          <w:szCs w:val="24"/>
        </w:rPr>
        <w:t>SD</w:t>
      </w:r>
      <w:r w:rsidRPr="00EF6D2C">
        <w:rPr>
          <w:rFonts w:ascii="Times New Roman" w:eastAsia="Times New Roman" w:hAnsi="Times New Roman" w:cs="Times New Roman"/>
          <w:sz w:val="24"/>
          <w:szCs w:val="24"/>
        </w:rPr>
        <w:t xml:space="preserve"> = 9.16) in the post-test, representing a mean improvement of 23.12 points.</w:t>
      </w:r>
    </w:p>
    <w:p w14:paraId="2EB11491" w14:textId="77777777" w:rsidR="00EF6D2C" w:rsidRPr="00EF6D2C" w:rsidRDefault="00EF6D2C" w:rsidP="00EF6D2C">
      <w:pPr>
        <w:keepNext/>
        <w:spacing w:after="0" w:line="240" w:lineRule="auto"/>
        <w:jc w:val="both"/>
        <w:rPr>
          <w:rFonts w:ascii="Times New Roman" w:eastAsia="Times New Roman" w:hAnsi="Times New Roman" w:cs="Times New Roman"/>
          <w:sz w:val="24"/>
          <w:szCs w:val="24"/>
        </w:rPr>
      </w:pPr>
    </w:p>
    <w:p w14:paraId="35FD45C5" w14:textId="7FBFCABC" w:rsidR="008B237F" w:rsidRPr="00EF6D2C" w:rsidRDefault="00C835D0" w:rsidP="00EF6D2C">
      <w:pPr>
        <w:keepNext/>
        <w:spacing w:after="0" w:line="240" w:lineRule="auto"/>
        <w:jc w:val="center"/>
        <w:rPr>
          <w:rFonts w:ascii="Times New Roman" w:eastAsia="Times New Roman" w:hAnsi="Times New Roman" w:cs="Times New Roman"/>
          <w:i/>
          <w:sz w:val="24"/>
          <w:szCs w:val="24"/>
        </w:rPr>
      </w:pPr>
      <w:r w:rsidRPr="00EF6D2C">
        <w:rPr>
          <w:rFonts w:ascii="Times New Roman" w:eastAsia="Times New Roman" w:hAnsi="Times New Roman" w:cs="Times New Roman"/>
          <w:i/>
          <w:sz w:val="24"/>
          <w:szCs w:val="24"/>
        </w:rPr>
        <w:t xml:space="preserve">Table </w:t>
      </w:r>
      <w:r w:rsidR="00EF6D2C" w:rsidRPr="00EF6D2C">
        <w:rPr>
          <w:rFonts w:ascii="Times New Roman" w:eastAsia="Times New Roman" w:hAnsi="Times New Roman" w:cs="Times New Roman"/>
          <w:i/>
          <w:sz w:val="24"/>
          <w:szCs w:val="24"/>
        </w:rPr>
        <w:t>1. Mean</w:t>
      </w:r>
      <w:r w:rsidR="008B237F" w:rsidRPr="00EF6D2C">
        <w:rPr>
          <w:rFonts w:ascii="Times New Roman" w:eastAsia="Times New Roman" w:hAnsi="Times New Roman" w:cs="Times New Roman"/>
          <w:i/>
          <w:sz w:val="24"/>
          <w:szCs w:val="24"/>
        </w:rPr>
        <w:t xml:space="preserve"> Scores</w:t>
      </w:r>
    </w:p>
    <w:tbl>
      <w:tblPr>
        <w:tblStyle w:val="TabelBiasa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456"/>
        <w:gridCol w:w="803"/>
        <w:gridCol w:w="2223"/>
      </w:tblGrid>
      <w:tr w:rsidR="008B237F" w:rsidRPr="00EF6D2C" w14:paraId="31B34C29" w14:textId="77777777" w:rsidTr="00EF6D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506A5C66" w14:textId="77777777" w:rsidR="008B237F" w:rsidRPr="00EF6D2C" w:rsidRDefault="008B237F"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Test</w:t>
            </w:r>
          </w:p>
        </w:tc>
        <w:tc>
          <w:tcPr>
            <w:tcW w:w="0" w:type="auto"/>
            <w:tcBorders>
              <w:bottom w:val="none" w:sz="0" w:space="0" w:color="auto"/>
            </w:tcBorders>
            <w:hideMark/>
          </w:tcPr>
          <w:p w14:paraId="1B6799FC" w14:textId="77777777" w:rsidR="008B237F" w:rsidRPr="00EF6D2C" w:rsidRDefault="008B237F"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N</w:t>
            </w:r>
          </w:p>
        </w:tc>
        <w:tc>
          <w:tcPr>
            <w:tcW w:w="0" w:type="auto"/>
            <w:tcBorders>
              <w:bottom w:val="none" w:sz="0" w:space="0" w:color="auto"/>
            </w:tcBorders>
            <w:hideMark/>
          </w:tcPr>
          <w:p w14:paraId="708B25B8" w14:textId="77777777" w:rsidR="008B237F" w:rsidRPr="00EF6D2C" w:rsidRDefault="008B237F"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Mean</w:t>
            </w:r>
          </w:p>
        </w:tc>
        <w:tc>
          <w:tcPr>
            <w:tcW w:w="0" w:type="auto"/>
            <w:tcBorders>
              <w:bottom w:val="none" w:sz="0" w:space="0" w:color="auto"/>
            </w:tcBorders>
            <w:hideMark/>
          </w:tcPr>
          <w:p w14:paraId="2533077F" w14:textId="77777777" w:rsidR="008B237F" w:rsidRPr="00EF6D2C" w:rsidRDefault="008B237F"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Standard Deviation</w:t>
            </w:r>
          </w:p>
        </w:tc>
      </w:tr>
      <w:tr w:rsidR="008B237F" w:rsidRPr="00EF6D2C" w14:paraId="5174F76E" w14:textId="77777777" w:rsidTr="00EF6D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467D7D23" w14:textId="77777777" w:rsidR="008B237F" w:rsidRPr="00EF6D2C" w:rsidRDefault="008B237F"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Pre-test</w:t>
            </w:r>
          </w:p>
        </w:tc>
        <w:tc>
          <w:tcPr>
            <w:tcW w:w="0" w:type="auto"/>
            <w:tcBorders>
              <w:top w:val="none" w:sz="0" w:space="0" w:color="auto"/>
              <w:bottom w:val="none" w:sz="0" w:space="0" w:color="auto"/>
            </w:tcBorders>
            <w:hideMark/>
          </w:tcPr>
          <w:p w14:paraId="5736830D" w14:textId="77777777" w:rsidR="008B237F" w:rsidRPr="00EF6D2C" w:rsidRDefault="008B237F"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25</w:t>
            </w:r>
          </w:p>
        </w:tc>
        <w:tc>
          <w:tcPr>
            <w:tcW w:w="0" w:type="auto"/>
            <w:tcBorders>
              <w:top w:val="none" w:sz="0" w:space="0" w:color="auto"/>
              <w:bottom w:val="none" w:sz="0" w:space="0" w:color="auto"/>
            </w:tcBorders>
            <w:hideMark/>
          </w:tcPr>
          <w:p w14:paraId="614E73AB" w14:textId="77777777" w:rsidR="008B237F" w:rsidRPr="00EF6D2C" w:rsidRDefault="008B237F"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63.36</w:t>
            </w:r>
          </w:p>
        </w:tc>
        <w:tc>
          <w:tcPr>
            <w:tcW w:w="0" w:type="auto"/>
            <w:tcBorders>
              <w:top w:val="none" w:sz="0" w:space="0" w:color="auto"/>
              <w:bottom w:val="none" w:sz="0" w:space="0" w:color="auto"/>
            </w:tcBorders>
            <w:hideMark/>
          </w:tcPr>
          <w:p w14:paraId="19B8612F" w14:textId="77777777" w:rsidR="008B237F" w:rsidRPr="00EF6D2C" w:rsidRDefault="008B237F"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8.74</w:t>
            </w:r>
          </w:p>
        </w:tc>
      </w:tr>
      <w:tr w:rsidR="008B237F" w:rsidRPr="00EF6D2C" w14:paraId="684202AF" w14:textId="77777777" w:rsidTr="00EF6D2C">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F450903" w14:textId="77777777" w:rsidR="008B237F" w:rsidRPr="00EF6D2C" w:rsidRDefault="008B237F"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Post-test</w:t>
            </w:r>
          </w:p>
        </w:tc>
        <w:tc>
          <w:tcPr>
            <w:tcW w:w="0" w:type="auto"/>
            <w:hideMark/>
          </w:tcPr>
          <w:p w14:paraId="66776798" w14:textId="77777777" w:rsidR="008B237F" w:rsidRPr="00EF6D2C" w:rsidRDefault="008B237F" w:rsidP="00EF6D2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25</w:t>
            </w:r>
          </w:p>
        </w:tc>
        <w:tc>
          <w:tcPr>
            <w:tcW w:w="0" w:type="auto"/>
            <w:hideMark/>
          </w:tcPr>
          <w:p w14:paraId="0DCE1235" w14:textId="77777777" w:rsidR="008B237F" w:rsidRPr="00EF6D2C" w:rsidRDefault="008B237F" w:rsidP="00EF6D2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86.48</w:t>
            </w:r>
          </w:p>
        </w:tc>
        <w:tc>
          <w:tcPr>
            <w:tcW w:w="0" w:type="auto"/>
            <w:hideMark/>
          </w:tcPr>
          <w:p w14:paraId="359D2284" w14:textId="77777777" w:rsidR="008B237F" w:rsidRPr="00EF6D2C" w:rsidRDefault="008B237F" w:rsidP="00EF6D2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9.16</w:t>
            </w:r>
          </w:p>
        </w:tc>
      </w:tr>
    </w:tbl>
    <w:p w14:paraId="27292AAB" w14:textId="77777777" w:rsidR="00EF6D2C" w:rsidRPr="00EF6D2C" w:rsidRDefault="00EF6D2C" w:rsidP="00EF6D2C">
      <w:pPr>
        <w:spacing w:after="0" w:line="240" w:lineRule="auto"/>
        <w:jc w:val="both"/>
        <w:rPr>
          <w:rFonts w:ascii="Times New Roman" w:eastAsia="Times New Roman" w:hAnsi="Times New Roman" w:cs="Times New Roman"/>
          <w:sz w:val="24"/>
          <w:szCs w:val="24"/>
        </w:rPr>
      </w:pPr>
    </w:p>
    <w:p w14:paraId="476DE085" w14:textId="6E1E9AE5" w:rsidR="008B237F" w:rsidRPr="00EF6D2C" w:rsidRDefault="00EC0D26" w:rsidP="00EF6D2C">
      <w:pPr>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The increase in the mean score indicates a marked improvement in students' maritime vocabulary performance following the intervention. However, inferential analysis was conducted to determine whether this observed difference was statistically significant.</w:t>
      </w:r>
    </w:p>
    <w:p w14:paraId="7656A8F8" w14:textId="77777777" w:rsidR="00EF6D2C" w:rsidRDefault="00EF6D2C" w:rsidP="00EF6D2C">
      <w:pPr>
        <w:keepNext/>
        <w:spacing w:after="0" w:line="240" w:lineRule="auto"/>
        <w:jc w:val="both"/>
        <w:rPr>
          <w:rFonts w:ascii="Times New Roman" w:eastAsia="Times New Roman" w:hAnsi="Times New Roman" w:cs="Times New Roman"/>
          <w:b/>
          <w:sz w:val="24"/>
          <w:szCs w:val="24"/>
        </w:rPr>
      </w:pPr>
    </w:p>
    <w:p w14:paraId="5D4B2C33" w14:textId="2BAF121D" w:rsidR="001F531C" w:rsidRPr="00EF6D2C" w:rsidRDefault="001F531C" w:rsidP="00EF6D2C">
      <w:pPr>
        <w:keepNext/>
        <w:spacing w:after="0" w:line="240" w:lineRule="auto"/>
        <w:jc w:val="both"/>
        <w:rPr>
          <w:rFonts w:ascii="Times New Roman" w:eastAsia="Times New Roman" w:hAnsi="Times New Roman" w:cs="Times New Roman"/>
          <w:b/>
          <w:sz w:val="24"/>
          <w:szCs w:val="24"/>
        </w:rPr>
      </w:pPr>
      <w:r w:rsidRPr="00EF6D2C">
        <w:rPr>
          <w:rFonts w:ascii="Times New Roman" w:eastAsia="Times New Roman" w:hAnsi="Times New Roman" w:cs="Times New Roman"/>
          <w:b/>
          <w:sz w:val="24"/>
          <w:szCs w:val="24"/>
        </w:rPr>
        <w:t>Normality Test</w:t>
      </w:r>
    </w:p>
    <w:p w14:paraId="4B6FC6B2" w14:textId="77777777" w:rsidR="00EF6D2C" w:rsidRDefault="00EF6D2C" w:rsidP="00EF6D2C">
      <w:pPr>
        <w:spacing w:after="0" w:line="240" w:lineRule="auto"/>
        <w:jc w:val="both"/>
        <w:rPr>
          <w:rFonts w:ascii="Times New Roman" w:eastAsia="Times New Roman" w:hAnsi="Times New Roman" w:cs="Times New Roman"/>
          <w:sz w:val="24"/>
          <w:szCs w:val="24"/>
        </w:rPr>
      </w:pPr>
    </w:p>
    <w:p w14:paraId="27EB9139" w14:textId="6F5FDB5F" w:rsidR="00EC0D26" w:rsidRPr="00EF6D2C" w:rsidRDefault="00EC0D26" w:rsidP="00EF6D2C">
      <w:pPr>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The normality of the score distributions was examined using the Shapiro–Wilk test. As presented in Table 2, the significance values for both the pre-test and post-test were greater than .05.</w:t>
      </w:r>
    </w:p>
    <w:p w14:paraId="0B152F56" w14:textId="2AA01F2D" w:rsidR="001F531C" w:rsidRPr="00EF6D2C" w:rsidRDefault="00C835D0" w:rsidP="00EF6D2C">
      <w:pPr>
        <w:keepNext/>
        <w:spacing w:after="0" w:line="240" w:lineRule="auto"/>
        <w:jc w:val="center"/>
        <w:rPr>
          <w:rFonts w:ascii="Times New Roman" w:eastAsia="Times New Roman" w:hAnsi="Times New Roman" w:cs="Times New Roman"/>
          <w:i/>
          <w:sz w:val="24"/>
          <w:szCs w:val="24"/>
        </w:rPr>
      </w:pPr>
      <w:r w:rsidRPr="00EF6D2C">
        <w:rPr>
          <w:rFonts w:ascii="Times New Roman" w:eastAsia="Times New Roman" w:hAnsi="Times New Roman" w:cs="Times New Roman"/>
          <w:i/>
          <w:sz w:val="24"/>
          <w:szCs w:val="24"/>
        </w:rPr>
        <w:t>Table 2</w:t>
      </w:r>
      <w:r w:rsidR="00EF6D2C" w:rsidRPr="00EF6D2C">
        <w:rPr>
          <w:rFonts w:ascii="Times New Roman" w:eastAsia="Times New Roman" w:hAnsi="Times New Roman" w:cs="Times New Roman"/>
          <w:i/>
          <w:sz w:val="24"/>
          <w:szCs w:val="24"/>
        </w:rPr>
        <w:t xml:space="preserve">. </w:t>
      </w:r>
      <w:r w:rsidR="001F531C" w:rsidRPr="00EF6D2C">
        <w:rPr>
          <w:rFonts w:ascii="Times New Roman" w:eastAsia="Times New Roman" w:hAnsi="Times New Roman" w:cs="Times New Roman"/>
          <w:i/>
          <w:sz w:val="24"/>
          <w:szCs w:val="24"/>
        </w:rPr>
        <w:t>Normality Test</w:t>
      </w:r>
    </w:p>
    <w:tbl>
      <w:tblPr>
        <w:tblStyle w:val="TabelBiasa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1590"/>
        <w:gridCol w:w="1215"/>
      </w:tblGrid>
      <w:tr w:rsidR="001F531C" w:rsidRPr="00EF6D2C" w14:paraId="03CD4A8A" w14:textId="77777777" w:rsidTr="00EF6D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5" w:type="dxa"/>
            <w:tcBorders>
              <w:bottom w:val="none" w:sz="0" w:space="0" w:color="auto"/>
            </w:tcBorders>
            <w:hideMark/>
          </w:tcPr>
          <w:p w14:paraId="46C59D48" w14:textId="77777777" w:rsidR="001F531C" w:rsidRPr="00EF6D2C" w:rsidRDefault="001F531C"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Variable</w:t>
            </w:r>
          </w:p>
        </w:tc>
        <w:tc>
          <w:tcPr>
            <w:tcW w:w="1590" w:type="dxa"/>
            <w:tcBorders>
              <w:bottom w:val="none" w:sz="0" w:space="0" w:color="auto"/>
            </w:tcBorders>
            <w:hideMark/>
          </w:tcPr>
          <w:p w14:paraId="262F9EFC" w14:textId="77777777" w:rsidR="001F531C" w:rsidRPr="00EF6D2C" w:rsidRDefault="001F531C"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Statistic</w:t>
            </w:r>
          </w:p>
        </w:tc>
        <w:tc>
          <w:tcPr>
            <w:tcW w:w="1215" w:type="dxa"/>
            <w:tcBorders>
              <w:bottom w:val="none" w:sz="0" w:space="0" w:color="auto"/>
            </w:tcBorders>
            <w:hideMark/>
          </w:tcPr>
          <w:p w14:paraId="0BF2FC7F" w14:textId="77777777" w:rsidR="001F531C" w:rsidRPr="00EF6D2C" w:rsidRDefault="001F531C"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Sig.</w:t>
            </w:r>
          </w:p>
        </w:tc>
      </w:tr>
      <w:tr w:rsidR="001F531C" w:rsidRPr="00EF6D2C" w14:paraId="4F5CC044" w14:textId="77777777" w:rsidTr="00EF6D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5" w:type="dxa"/>
            <w:tcBorders>
              <w:top w:val="none" w:sz="0" w:space="0" w:color="auto"/>
              <w:bottom w:val="none" w:sz="0" w:space="0" w:color="auto"/>
            </w:tcBorders>
            <w:hideMark/>
          </w:tcPr>
          <w:p w14:paraId="75B13EA9" w14:textId="77777777" w:rsidR="001F531C" w:rsidRPr="00EF6D2C" w:rsidRDefault="001F531C"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Pre-test</w:t>
            </w:r>
          </w:p>
        </w:tc>
        <w:tc>
          <w:tcPr>
            <w:tcW w:w="1590" w:type="dxa"/>
            <w:tcBorders>
              <w:top w:val="none" w:sz="0" w:space="0" w:color="auto"/>
              <w:bottom w:val="none" w:sz="0" w:space="0" w:color="auto"/>
            </w:tcBorders>
            <w:hideMark/>
          </w:tcPr>
          <w:p w14:paraId="2BBDD1E1" w14:textId="77777777" w:rsidR="001F531C" w:rsidRPr="00EF6D2C" w:rsidRDefault="001F531C"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0.964</w:t>
            </w:r>
          </w:p>
        </w:tc>
        <w:tc>
          <w:tcPr>
            <w:tcW w:w="1215" w:type="dxa"/>
            <w:tcBorders>
              <w:top w:val="none" w:sz="0" w:space="0" w:color="auto"/>
              <w:bottom w:val="none" w:sz="0" w:space="0" w:color="auto"/>
            </w:tcBorders>
            <w:hideMark/>
          </w:tcPr>
          <w:p w14:paraId="2C298193" w14:textId="77777777" w:rsidR="001F531C" w:rsidRPr="00EF6D2C" w:rsidRDefault="001F531C"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0.534</w:t>
            </w:r>
          </w:p>
        </w:tc>
      </w:tr>
      <w:tr w:rsidR="001F531C" w:rsidRPr="00EF6D2C" w14:paraId="254D4848" w14:textId="77777777" w:rsidTr="00EF6D2C">
        <w:trPr>
          <w:jc w:val="center"/>
        </w:trPr>
        <w:tc>
          <w:tcPr>
            <w:cnfStyle w:val="001000000000" w:firstRow="0" w:lastRow="0" w:firstColumn="1" w:lastColumn="0" w:oddVBand="0" w:evenVBand="0" w:oddHBand="0" w:evenHBand="0" w:firstRowFirstColumn="0" w:firstRowLastColumn="0" w:lastRowFirstColumn="0" w:lastRowLastColumn="0"/>
            <w:tcW w:w="1485" w:type="dxa"/>
            <w:hideMark/>
          </w:tcPr>
          <w:p w14:paraId="3448BEB4" w14:textId="77777777" w:rsidR="001F531C" w:rsidRPr="00EF6D2C" w:rsidRDefault="001F531C"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Post-test</w:t>
            </w:r>
          </w:p>
        </w:tc>
        <w:tc>
          <w:tcPr>
            <w:tcW w:w="1590" w:type="dxa"/>
            <w:hideMark/>
          </w:tcPr>
          <w:p w14:paraId="65C8DC99" w14:textId="77777777" w:rsidR="001F531C" w:rsidRPr="00EF6D2C" w:rsidRDefault="001F531C" w:rsidP="00EF6D2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0.952</w:t>
            </w:r>
          </w:p>
        </w:tc>
        <w:tc>
          <w:tcPr>
            <w:tcW w:w="1215" w:type="dxa"/>
            <w:hideMark/>
          </w:tcPr>
          <w:p w14:paraId="65C3D849" w14:textId="77777777" w:rsidR="001F531C" w:rsidRPr="00EF6D2C" w:rsidRDefault="001F531C" w:rsidP="00EF6D2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0.287</w:t>
            </w:r>
          </w:p>
        </w:tc>
      </w:tr>
    </w:tbl>
    <w:p w14:paraId="650E4452" w14:textId="77777777" w:rsidR="00EF6D2C" w:rsidRDefault="00EF6D2C" w:rsidP="00EF6D2C">
      <w:pPr>
        <w:spacing w:after="0" w:line="240" w:lineRule="auto"/>
        <w:jc w:val="both"/>
        <w:outlineLvl w:val="1"/>
        <w:rPr>
          <w:rFonts w:ascii="Times New Roman" w:eastAsia="Times New Roman" w:hAnsi="Times New Roman" w:cs="Times New Roman"/>
          <w:bCs/>
          <w:sz w:val="24"/>
          <w:szCs w:val="24"/>
        </w:rPr>
      </w:pPr>
    </w:p>
    <w:p w14:paraId="20DAAAE1" w14:textId="5A6EBB24" w:rsidR="001F531C" w:rsidRPr="00EF6D2C" w:rsidRDefault="00EC0D26" w:rsidP="00EF6D2C">
      <w:pPr>
        <w:spacing w:after="0" w:line="240" w:lineRule="auto"/>
        <w:jc w:val="both"/>
        <w:outlineLvl w:val="1"/>
        <w:rPr>
          <w:rFonts w:ascii="Times New Roman" w:eastAsia="Times New Roman" w:hAnsi="Times New Roman" w:cs="Times New Roman"/>
          <w:bCs/>
          <w:sz w:val="24"/>
          <w:szCs w:val="24"/>
        </w:rPr>
      </w:pPr>
      <w:r w:rsidRPr="00EF6D2C">
        <w:rPr>
          <w:rFonts w:ascii="Times New Roman" w:eastAsia="Times New Roman" w:hAnsi="Times New Roman" w:cs="Times New Roman"/>
          <w:bCs/>
          <w:sz w:val="24"/>
          <w:szCs w:val="24"/>
        </w:rPr>
        <w:lastRenderedPageBreak/>
        <w:t>The results indicated no statistically significant departure from normality for either the pre-test (</w:t>
      </w:r>
      <w:r w:rsidRPr="00EF6D2C">
        <w:rPr>
          <w:rFonts w:ascii="Times New Roman" w:eastAsia="Times New Roman" w:hAnsi="Times New Roman" w:cs="Times New Roman"/>
          <w:bCs/>
          <w:i/>
          <w:iCs/>
          <w:sz w:val="24"/>
          <w:szCs w:val="24"/>
        </w:rPr>
        <w:t>p</w:t>
      </w:r>
      <w:r w:rsidRPr="00EF6D2C">
        <w:rPr>
          <w:rFonts w:ascii="Times New Roman" w:eastAsia="Times New Roman" w:hAnsi="Times New Roman" w:cs="Times New Roman"/>
          <w:bCs/>
          <w:sz w:val="24"/>
          <w:szCs w:val="24"/>
        </w:rPr>
        <w:t xml:space="preserve"> = .534) or post-test (</w:t>
      </w:r>
      <w:r w:rsidRPr="00EF6D2C">
        <w:rPr>
          <w:rFonts w:ascii="Times New Roman" w:eastAsia="Times New Roman" w:hAnsi="Times New Roman" w:cs="Times New Roman"/>
          <w:bCs/>
          <w:i/>
          <w:iCs/>
          <w:sz w:val="24"/>
          <w:szCs w:val="24"/>
        </w:rPr>
        <w:t>p</w:t>
      </w:r>
      <w:r w:rsidRPr="00EF6D2C">
        <w:rPr>
          <w:rFonts w:ascii="Times New Roman" w:eastAsia="Times New Roman" w:hAnsi="Times New Roman" w:cs="Times New Roman"/>
          <w:bCs/>
          <w:sz w:val="24"/>
          <w:szCs w:val="24"/>
        </w:rPr>
        <w:t xml:space="preserve"> = .287). Therefore, the data were considered appropriate for parametric analysis using a paired-samples </w:t>
      </w:r>
      <w:r w:rsidRPr="00EF6D2C">
        <w:rPr>
          <w:rFonts w:ascii="Times New Roman" w:eastAsia="Times New Roman" w:hAnsi="Times New Roman" w:cs="Times New Roman"/>
          <w:bCs/>
          <w:i/>
          <w:iCs/>
          <w:sz w:val="24"/>
          <w:szCs w:val="24"/>
        </w:rPr>
        <w:t>t</w:t>
      </w:r>
      <w:r w:rsidRPr="00EF6D2C">
        <w:rPr>
          <w:rFonts w:ascii="Times New Roman" w:eastAsia="Times New Roman" w:hAnsi="Times New Roman" w:cs="Times New Roman"/>
          <w:bCs/>
          <w:sz w:val="24"/>
          <w:szCs w:val="24"/>
        </w:rPr>
        <w:t>-test</w:t>
      </w:r>
      <w:r w:rsidR="0096747B" w:rsidRPr="00EF6D2C">
        <w:rPr>
          <w:rFonts w:ascii="Times New Roman" w:eastAsia="Times New Roman" w:hAnsi="Times New Roman" w:cs="Times New Roman"/>
          <w:bCs/>
          <w:sz w:val="24"/>
          <w:szCs w:val="24"/>
        </w:rPr>
        <w:t>.</w:t>
      </w:r>
    </w:p>
    <w:p w14:paraId="670966A6" w14:textId="77777777" w:rsidR="00EF6D2C" w:rsidRDefault="00EF6D2C" w:rsidP="00EF6D2C">
      <w:pPr>
        <w:keepNext/>
        <w:spacing w:after="0" w:line="240" w:lineRule="auto"/>
        <w:jc w:val="both"/>
        <w:outlineLvl w:val="1"/>
        <w:rPr>
          <w:rFonts w:ascii="Times New Roman" w:eastAsia="Times New Roman" w:hAnsi="Times New Roman" w:cs="Times New Roman"/>
          <w:b/>
          <w:bCs/>
          <w:sz w:val="24"/>
          <w:szCs w:val="24"/>
        </w:rPr>
      </w:pPr>
    </w:p>
    <w:p w14:paraId="7FDA4078" w14:textId="3D5E55AB" w:rsidR="008B237F" w:rsidRPr="00EF6D2C" w:rsidRDefault="008B237F" w:rsidP="00EF6D2C">
      <w:pPr>
        <w:keepNext/>
        <w:spacing w:after="0" w:line="240" w:lineRule="auto"/>
        <w:jc w:val="both"/>
        <w:outlineLvl w:val="1"/>
        <w:rPr>
          <w:rFonts w:ascii="Times New Roman" w:eastAsia="Times New Roman" w:hAnsi="Times New Roman" w:cs="Times New Roman"/>
          <w:b/>
          <w:bCs/>
          <w:sz w:val="24"/>
          <w:szCs w:val="24"/>
        </w:rPr>
      </w:pPr>
      <w:r w:rsidRPr="00EF6D2C">
        <w:rPr>
          <w:rFonts w:ascii="Times New Roman" w:eastAsia="Times New Roman" w:hAnsi="Times New Roman" w:cs="Times New Roman"/>
          <w:b/>
          <w:bCs/>
          <w:sz w:val="24"/>
          <w:szCs w:val="24"/>
        </w:rPr>
        <w:t>Paired-Samples t-Test Analysis</w:t>
      </w:r>
    </w:p>
    <w:p w14:paraId="02C71CF8" w14:textId="77777777" w:rsidR="00EF6D2C" w:rsidRDefault="00EF6D2C" w:rsidP="00EF6D2C">
      <w:pPr>
        <w:spacing w:after="0" w:line="240" w:lineRule="auto"/>
        <w:jc w:val="both"/>
        <w:rPr>
          <w:rFonts w:ascii="Times New Roman" w:eastAsia="Times New Roman" w:hAnsi="Times New Roman" w:cs="Times New Roman"/>
          <w:sz w:val="24"/>
          <w:szCs w:val="24"/>
        </w:rPr>
      </w:pPr>
    </w:p>
    <w:p w14:paraId="72E8276A" w14:textId="6EB3CCDD" w:rsidR="00C835D0" w:rsidRDefault="00BA5022" w:rsidP="00EF6D2C">
      <w:pPr>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A paired-samples </w:t>
      </w:r>
      <w:r w:rsidRPr="00EF6D2C">
        <w:rPr>
          <w:rFonts w:ascii="Times New Roman" w:eastAsia="Times New Roman" w:hAnsi="Times New Roman" w:cs="Times New Roman"/>
          <w:i/>
          <w:iCs/>
          <w:sz w:val="24"/>
          <w:szCs w:val="24"/>
        </w:rPr>
        <w:t>t</w:t>
      </w:r>
      <w:r w:rsidRPr="00EF6D2C">
        <w:rPr>
          <w:rFonts w:ascii="Times New Roman" w:eastAsia="Times New Roman" w:hAnsi="Times New Roman" w:cs="Times New Roman"/>
          <w:sz w:val="24"/>
          <w:szCs w:val="24"/>
        </w:rPr>
        <w:t>-test was conducted to examine whether students' maritime vocabulary scores differed significantly before and after the intervention. The results are presented in Table 3.</w:t>
      </w:r>
    </w:p>
    <w:p w14:paraId="48146EB1" w14:textId="77777777" w:rsidR="00EF6D2C" w:rsidRPr="00EF6D2C" w:rsidRDefault="00EF6D2C" w:rsidP="00EF6D2C">
      <w:pPr>
        <w:spacing w:after="0" w:line="240" w:lineRule="auto"/>
        <w:jc w:val="both"/>
        <w:rPr>
          <w:rFonts w:ascii="Times New Roman" w:eastAsia="Times New Roman" w:hAnsi="Times New Roman" w:cs="Times New Roman"/>
          <w:sz w:val="24"/>
          <w:szCs w:val="24"/>
        </w:rPr>
      </w:pPr>
    </w:p>
    <w:p w14:paraId="70B779BA" w14:textId="06C0CCB6" w:rsidR="008B237F" w:rsidRPr="00EF6D2C" w:rsidRDefault="001F531C" w:rsidP="00EF6D2C">
      <w:pPr>
        <w:keepNext/>
        <w:spacing w:after="0" w:line="240" w:lineRule="auto"/>
        <w:ind w:left="720"/>
        <w:jc w:val="center"/>
        <w:rPr>
          <w:rFonts w:ascii="Times New Roman" w:eastAsia="Times New Roman" w:hAnsi="Times New Roman" w:cs="Times New Roman"/>
          <w:i/>
          <w:sz w:val="24"/>
          <w:szCs w:val="24"/>
        </w:rPr>
      </w:pPr>
      <w:r w:rsidRPr="00EF6D2C">
        <w:rPr>
          <w:rFonts w:ascii="Times New Roman" w:eastAsia="Times New Roman" w:hAnsi="Times New Roman" w:cs="Times New Roman"/>
          <w:i/>
          <w:sz w:val="24"/>
          <w:szCs w:val="24"/>
        </w:rPr>
        <w:t>Table 3</w:t>
      </w:r>
      <w:r w:rsidR="00EF6D2C" w:rsidRPr="00EF6D2C">
        <w:rPr>
          <w:rFonts w:ascii="Times New Roman" w:eastAsia="Times New Roman" w:hAnsi="Times New Roman" w:cs="Times New Roman"/>
          <w:i/>
          <w:sz w:val="24"/>
          <w:szCs w:val="24"/>
        </w:rPr>
        <w:t xml:space="preserve">. </w:t>
      </w:r>
      <w:r w:rsidR="008B237F" w:rsidRPr="00EF6D2C">
        <w:rPr>
          <w:rFonts w:ascii="Times New Roman" w:eastAsia="Times New Roman" w:hAnsi="Times New Roman" w:cs="Times New Roman"/>
          <w:i/>
          <w:sz w:val="24"/>
          <w:szCs w:val="24"/>
        </w:rPr>
        <w:t>Paired Sample t-test</w:t>
      </w:r>
    </w:p>
    <w:tbl>
      <w:tblPr>
        <w:tblStyle w:val="TabelBiasa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1929"/>
        <w:gridCol w:w="892"/>
        <w:gridCol w:w="456"/>
        <w:gridCol w:w="1590"/>
      </w:tblGrid>
      <w:tr w:rsidR="00B151F1" w:rsidRPr="00EF6D2C" w14:paraId="05E8C3CB" w14:textId="77777777" w:rsidTr="00EF6D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9C5D931" w14:textId="77777777" w:rsidR="00B151F1" w:rsidRPr="00EF6D2C" w:rsidRDefault="00B151F1"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Variable</w:t>
            </w:r>
          </w:p>
        </w:tc>
        <w:tc>
          <w:tcPr>
            <w:tcW w:w="0" w:type="auto"/>
            <w:tcBorders>
              <w:bottom w:val="none" w:sz="0" w:space="0" w:color="auto"/>
            </w:tcBorders>
            <w:hideMark/>
          </w:tcPr>
          <w:p w14:paraId="462A19F9"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Mean Difference</w:t>
            </w:r>
          </w:p>
        </w:tc>
        <w:tc>
          <w:tcPr>
            <w:tcW w:w="0" w:type="auto"/>
            <w:tcBorders>
              <w:bottom w:val="none" w:sz="0" w:space="0" w:color="auto"/>
            </w:tcBorders>
            <w:hideMark/>
          </w:tcPr>
          <w:p w14:paraId="583331E2"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i/>
                <w:iCs/>
                <w:sz w:val="24"/>
                <w:szCs w:val="24"/>
              </w:rPr>
              <w:t>t</w:t>
            </w:r>
          </w:p>
        </w:tc>
        <w:tc>
          <w:tcPr>
            <w:tcW w:w="0" w:type="auto"/>
            <w:tcBorders>
              <w:bottom w:val="none" w:sz="0" w:space="0" w:color="auto"/>
            </w:tcBorders>
            <w:hideMark/>
          </w:tcPr>
          <w:p w14:paraId="3F0D8F6E"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EF6D2C">
              <w:rPr>
                <w:rFonts w:ascii="Times New Roman" w:eastAsia="Times New Roman" w:hAnsi="Times New Roman" w:cs="Times New Roman"/>
                <w:i/>
                <w:iCs/>
                <w:sz w:val="24"/>
                <w:szCs w:val="24"/>
              </w:rPr>
              <w:t>df</w:t>
            </w:r>
            <w:proofErr w:type="spellEnd"/>
          </w:p>
        </w:tc>
        <w:tc>
          <w:tcPr>
            <w:tcW w:w="0" w:type="auto"/>
            <w:tcBorders>
              <w:bottom w:val="none" w:sz="0" w:space="0" w:color="auto"/>
            </w:tcBorders>
            <w:hideMark/>
          </w:tcPr>
          <w:p w14:paraId="0644511F"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Sig. (2-tailed)</w:t>
            </w:r>
          </w:p>
        </w:tc>
      </w:tr>
      <w:tr w:rsidR="00B151F1" w:rsidRPr="00EF6D2C" w14:paraId="374D63B0" w14:textId="77777777" w:rsidTr="00EF6D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4DABF8B2" w14:textId="77777777" w:rsidR="00B151F1" w:rsidRPr="00EF6D2C" w:rsidRDefault="00B151F1"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Pre-test – </w:t>
            </w:r>
            <w:proofErr w:type="gramStart"/>
            <w:r w:rsidRPr="00EF6D2C">
              <w:rPr>
                <w:rFonts w:ascii="Times New Roman" w:eastAsia="Times New Roman" w:hAnsi="Times New Roman" w:cs="Times New Roman"/>
                <w:sz w:val="24"/>
                <w:szCs w:val="24"/>
              </w:rPr>
              <w:t>Post-test</w:t>
            </w:r>
            <w:proofErr w:type="gramEnd"/>
          </w:p>
        </w:tc>
        <w:tc>
          <w:tcPr>
            <w:tcW w:w="0" w:type="auto"/>
            <w:tcBorders>
              <w:top w:val="none" w:sz="0" w:space="0" w:color="auto"/>
              <w:bottom w:val="none" w:sz="0" w:space="0" w:color="auto"/>
            </w:tcBorders>
            <w:hideMark/>
          </w:tcPr>
          <w:p w14:paraId="5970961C"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−23.12</w:t>
            </w:r>
          </w:p>
        </w:tc>
        <w:tc>
          <w:tcPr>
            <w:tcW w:w="0" w:type="auto"/>
            <w:tcBorders>
              <w:top w:val="none" w:sz="0" w:space="0" w:color="auto"/>
              <w:bottom w:val="none" w:sz="0" w:space="0" w:color="auto"/>
            </w:tcBorders>
            <w:hideMark/>
          </w:tcPr>
          <w:p w14:paraId="4F3B9B05"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−27.45</w:t>
            </w:r>
          </w:p>
        </w:tc>
        <w:tc>
          <w:tcPr>
            <w:tcW w:w="0" w:type="auto"/>
            <w:tcBorders>
              <w:top w:val="none" w:sz="0" w:space="0" w:color="auto"/>
              <w:bottom w:val="none" w:sz="0" w:space="0" w:color="auto"/>
            </w:tcBorders>
            <w:hideMark/>
          </w:tcPr>
          <w:p w14:paraId="3CB6E968"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24</w:t>
            </w:r>
          </w:p>
        </w:tc>
        <w:tc>
          <w:tcPr>
            <w:tcW w:w="0" w:type="auto"/>
            <w:tcBorders>
              <w:top w:val="none" w:sz="0" w:space="0" w:color="auto"/>
              <w:bottom w:val="none" w:sz="0" w:space="0" w:color="auto"/>
            </w:tcBorders>
            <w:hideMark/>
          </w:tcPr>
          <w:p w14:paraId="50250569"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&lt; .001</w:t>
            </w:r>
          </w:p>
        </w:tc>
      </w:tr>
    </w:tbl>
    <w:p w14:paraId="279FED46" w14:textId="77777777" w:rsidR="00EF6D2C" w:rsidRDefault="00EF6D2C" w:rsidP="00EF6D2C">
      <w:pPr>
        <w:spacing w:after="0" w:line="240" w:lineRule="auto"/>
        <w:jc w:val="both"/>
        <w:rPr>
          <w:rFonts w:ascii="Times New Roman" w:eastAsia="Times New Roman" w:hAnsi="Times New Roman" w:cs="Times New Roman"/>
          <w:sz w:val="24"/>
          <w:szCs w:val="24"/>
        </w:rPr>
      </w:pPr>
    </w:p>
    <w:p w14:paraId="2EF628E9" w14:textId="47C9E696" w:rsidR="008B237F" w:rsidRPr="00EF6D2C" w:rsidRDefault="00B151F1" w:rsidP="00EF6D2C">
      <w:pPr>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The paired-samples </w:t>
      </w:r>
      <w:r w:rsidRPr="00EF6D2C">
        <w:rPr>
          <w:rFonts w:ascii="Times New Roman" w:eastAsia="Times New Roman" w:hAnsi="Times New Roman" w:cs="Times New Roman"/>
          <w:i/>
          <w:iCs/>
          <w:sz w:val="24"/>
          <w:szCs w:val="24"/>
        </w:rPr>
        <w:t>t</w:t>
      </w:r>
      <w:r w:rsidRPr="00EF6D2C">
        <w:rPr>
          <w:rFonts w:ascii="Times New Roman" w:eastAsia="Times New Roman" w:hAnsi="Times New Roman" w:cs="Times New Roman"/>
          <w:sz w:val="24"/>
          <w:szCs w:val="24"/>
        </w:rPr>
        <w:t xml:space="preserve">-test showed a statistically significant difference between the pre-test and post-test scores, </w:t>
      </w:r>
      <w:proofErr w:type="gramStart"/>
      <w:r w:rsidRPr="00EF6D2C">
        <w:rPr>
          <w:rFonts w:ascii="Times New Roman" w:eastAsia="Times New Roman" w:hAnsi="Times New Roman" w:cs="Times New Roman"/>
          <w:i/>
          <w:iCs/>
          <w:sz w:val="24"/>
          <w:szCs w:val="24"/>
        </w:rPr>
        <w:t>t</w:t>
      </w:r>
      <w:r w:rsidRPr="00EF6D2C">
        <w:rPr>
          <w:rFonts w:ascii="Times New Roman" w:eastAsia="Times New Roman" w:hAnsi="Times New Roman" w:cs="Times New Roman"/>
          <w:sz w:val="24"/>
          <w:szCs w:val="24"/>
        </w:rPr>
        <w:t>(</w:t>
      </w:r>
      <w:proofErr w:type="gramEnd"/>
      <w:r w:rsidRPr="00EF6D2C">
        <w:rPr>
          <w:rFonts w:ascii="Times New Roman" w:eastAsia="Times New Roman" w:hAnsi="Times New Roman" w:cs="Times New Roman"/>
          <w:sz w:val="24"/>
          <w:szCs w:val="24"/>
        </w:rPr>
        <w:t xml:space="preserve">24) = −27.45, </w:t>
      </w:r>
      <w:r w:rsidRPr="00EF6D2C">
        <w:rPr>
          <w:rFonts w:ascii="Times New Roman" w:eastAsia="Times New Roman" w:hAnsi="Times New Roman" w:cs="Times New Roman"/>
          <w:i/>
          <w:iCs/>
          <w:sz w:val="24"/>
          <w:szCs w:val="24"/>
        </w:rPr>
        <w:t>p</w:t>
      </w:r>
      <w:r w:rsidRPr="00EF6D2C">
        <w:rPr>
          <w:rFonts w:ascii="Times New Roman" w:eastAsia="Times New Roman" w:hAnsi="Times New Roman" w:cs="Times New Roman"/>
          <w:sz w:val="24"/>
          <w:szCs w:val="24"/>
        </w:rPr>
        <w:t xml:space="preserve"> &lt; .001. The negative mean difference, obtained by subtracting the post-test score from the pre-test score, indicates that students achieved higher scores after the intervention.</w:t>
      </w:r>
    </w:p>
    <w:p w14:paraId="2C9413D7" w14:textId="77777777" w:rsidR="00EF6D2C" w:rsidRDefault="00EF6D2C" w:rsidP="00EF6D2C">
      <w:pPr>
        <w:keepNext/>
        <w:spacing w:after="0" w:line="240" w:lineRule="auto"/>
        <w:jc w:val="both"/>
        <w:rPr>
          <w:rFonts w:ascii="Times New Roman" w:eastAsia="Times New Roman" w:hAnsi="Times New Roman" w:cs="Times New Roman"/>
          <w:b/>
          <w:sz w:val="24"/>
          <w:szCs w:val="24"/>
        </w:rPr>
      </w:pPr>
    </w:p>
    <w:p w14:paraId="348C418C" w14:textId="4F34830B" w:rsidR="00B151F1" w:rsidRDefault="00B151F1" w:rsidP="00EF6D2C">
      <w:pPr>
        <w:keepNext/>
        <w:spacing w:after="0" w:line="240" w:lineRule="auto"/>
        <w:jc w:val="both"/>
        <w:rPr>
          <w:rFonts w:ascii="Times New Roman" w:eastAsia="Times New Roman" w:hAnsi="Times New Roman" w:cs="Times New Roman"/>
          <w:b/>
          <w:sz w:val="24"/>
          <w:szCs w:val="24"/>
        </w:rPr>
      </w:pPr>
      <w:r w:rsidRPr="00EF6D2C">
        <w:rPr>
          <w:rFonts w:ascii="Times New Roman" w:eastAsia="Times New Roman" w:hAnsi="Times New Roman" w:cs="Times New Roman"/>
          <w:b/>
          <w:sz w:val="24"/>
          <w:szCs w:val="24"/>
        </w:rPr>
        <w:t>Gain Score and Effect Size</w:t>
      </w:r>
    </w:p>
    <w:p w14:paraId="0AE2BC61" w14:textId="77777777" w:rsidR="00EF6D2C" w:rsidRPr="00EF6D2C" w:rsidRDefault="00EF6D2C" w:rsidP="00EF6D2C">
      <w:pPr>
        <w:keepNext/>
        <w:spacing w:after="0" w:line="240" w:lineRule="auto"/>
        <w:jc w:val="both"/>
        <w:rPr>
          <w:rFonts w:ascii="Times New Roman" w:eastAsia="Times New Roman" w:hAnsi="Times New Roman" w:cs="Times New Roman"/>
          <w:b/>
          <w:sz w:val="24"/>
          <w:szCs w:val="24"/>
        </w:rPr>
      </w:pPr>
    </w:p>
    <w:p w14:paraId="3408C32E" w14:textId="1A2665D2" w:rsidR="00EF6D2C" w:rsidRDefault="00B151F1" w:rsidP="00EF6D2C">
      <w:pPr>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To complement the significance test, the magnitude of students' improvement should be examined through gain-score and effect-size analyses. The results are presented in Table 4.</w:t>
      </w:r>
    </w:p>
    <w:p w14:paraId="455F3097" w14:textId="77777777" w:rsidR="00EF6D2C" w:rsidRPr="00EF6D2C" w:rsidRDefault="00EF6D2C" w:rsidP="00EF6D2C">
      <w:pPr>
        <w:spacing w:after="0" w:line="240" w:lineRule="auto"/>
        <w:jc w:val="both"/>
        <w:rPr>
          <w:rFonts w:ascii="Times New Roman" w:eastAsia="Times New Roman" w:hAnsi="Times New Roman" w:cs="Times New Roman"/>
          <w:sz w:val="24"/>
          <w:szCs w:val="24"/>
        </w:rPr>
      </w:pPr>
    </w:p>
    <w:p w14:paraId="7159DC6A" w14:textId="0E5B1EFC" w:rsidR="00B151F1" w:rsidRPr="00EF6D2C" w:rsidRDefault="00B151F1" w:rsidP="00EF6D2C">
      <w:pPr>
        <w:keepNext/>
        <w:spacing w:after="0" w:line="240" w:lineRule="auto"/>
        <w:jc w:val="center"/>
        <w:rPr>
          <w:rFonts w:ascii="Times New Roman" w:eastAsia="Times New Roman" w:hAnsi="Times New Roman" w:cs="Times New Roman"/>
          <w:i/>
          <w:sz w:val="24"/>
          <w:szCs w:val="24"/>
        </w:rPr>
      </w:pPr>
      <w:r w:rsidRPr="00EF6D2C">
        <w:rPr>
          <w:rFonts w:ascii="Times New Roman" w:eastAsia="Times New Roman" w:hAnsi="Times New Roman" w:cs="Times New Roman"/>
          <w:i/>
          <w:sz w:val="24"/>
          <w:szCs w:val="24"/>
        </w:rPr>
        <w:t>Table 4</w:t>
      </w:r>
      <w:r w:rsidR="00EF6D2C">
        <w:rPr>
          <w:rFonts w:ascii="Times New Roman" w:eastAsia="Times New Roman" w:hAnsi="Times New Roman" w:cs="Times New Roman"/>
          <w:i/>
          <w:sz w:val="24"/>
          <w:szCs w:val="24"/>
        </w:rPr>
        <w:t xml:space="preserve">. </w:t>
      </w:r>
      <w:r w:rsidRPr="00EF6D2C">
        <w:rPr>
          <w:rFonts w:ascii="Times New Roman" w:eastAsia="Times New Roman" w:hAnsi="Times New Roman" w:cs="Times New Roman"/>
          <w:i/>
          <w:sz w:val="24"/>
          <w:szCs w:val="24"/>
        </w:rPr>
        <w:t>Gain Score and Effect Size of Students’ Vocabulary Performance</w:t>
      </w:r>
    </w:p>
    <w:tbl>
      <w:tblPr>
        <w:tblStyle w:val="TabelBiasa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1003"/>
        <w:gridCol w:w="1022"/>
        <w:gridCol w:w="935"/>
        <w:gridCol w:w="1627"/>
        <w:gridCol w:w="1683"/>
      </w:tblGrid>
      <w:tr w:rsidR="00B151F1" w:rsidRPr="00EF6D2C" w14:paraId="1185DDB5" w14:textId="77777777" w:rsidTr="00EF6D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F69D010" w14:textId="77777777" w:rsidR="00B151F1" w:rsidRPr="00EF6D2C" w:rsidRDefault="00B151F1"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Variable</w:t>
            </w:r>
          </w:p>
        </w:tc>
        <w:tc>
          <w:tcPr>
            <w:tcW w:w="0" w:type="auto"/>
            <w:tcBorders>
              <w:bottom w:val="none" w:sz="0" w:space="0" w:color="auto"/>
            </w:tcBorders>
            <w:hideMark/>
          </w:tcPr>
          <w:p w14:paraId="395FAB89"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Pre-test Mean</w:t>
            </w:r>
          </w:p>
        </w:tc>
        <w:tc>
          <w:tcPr>
            <w:tcW w:w="0" w:type="auto"/>
            <w:tcBorders>
              <w:bottom w:val="none" w:sz="0" w:space="0" w:color="auto"/>
            </w:tcBorders>
            <w:hideMark/>
          </w:tcPr>
          <w:p w14:paraId="264489AD"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Post-test Mean</w:t>
            </w:r>
          </w:p>
        </w:tc>
        <w:tc>
          <w:tcPr>
            <w:tcW w:w="0" w:type="auto"/>
            <w:tcBorders>
              <w:bottom w:val="none" w:sz="0" w:space="0" w:color="auto"/>
            </w:tcBorders>
            <w:hideMark/>
          </w:tcPr>
          <w:p w14:paraId="2E6282B2"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Mean Gain</w:t>
            </w:r>
          </w:p>
        </w:tc>
        <w:tc>
          <w:tcPr>
            <w:tcW w:w="0" w:type="auto"/>
            <w:tcBorders>
              <w:bottom w:val="none" w:sz="0" w:space="0" w:color="auto"/>
            </w:tcBorders>
            <w:hideMark/>
          </w:tcPr>
          <w:p w14:paraId="143CC022"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Normalized Gain (</w:t>
            </w:r>
            <w:r w:rsidRPr="00EF6D2C">
              <w:rPr>
                <w:rFonts w:ascii="Times New Roman" w:eastAsia="Times New Roman" w:hAnsi="Times New Roman" w:cs="Times New Roman"/>
                <w:i/>
                <w:iCs/>
                <w:sz w:val="24"/>
                <w:szCs w:val="24"/>
              </w:rPr>
              <w:t>g</w:t>
            </w:r>
            <w:r w:rsidRPr="00EF6D2C">
              <w:rPr>
                <w:rFonts w:ascii="Times New Roman" w:eastAsia="Times New Roman" w:hAnsi="Times New Roman" w:cs="Times New Roman"/>
                <w:sz w:val="24"/>
                <w:szCs w:val="24"/>
              </w:rPr>
              <w:t>)</w:t>
            </w:r>
          </w:p>
        </w:tc>
        <w:tc>
          <w:tcPr>
            <w:tcW w:w="0" w:type="auto"/>
            <w:tcBorders>
              <w:bottom w:val="none" w:sz="0" w:space="0" w:color="auto"/>
            </w:tcBorders>
            <w:hideMark/>
          </w:tcPr>
          <w:p w14:paraId="79A3872E" w14:textId="77777777" w:rsidR="00B151F1" w:rsidRPr="00EF6D2C" w:rsidRDefault="00B151F1" w:rsidP="00EF6D2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Interpretation</w:t>
            </w:r>
          </w:p>
        </w:tc>
      </w:tr>
      <w:tr w:rsidR="00B151F1" w:rsidRPr="00EF6D2C" w14:paraId="4E14ED49" w14:textId="77777777" w:rsidTr="00EF6D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5797351B" w14:textId="77777777" w:rsidR="00B151F1" w:rsidRPr="00EF6D2C" w:rsidRDefault="00B151F1" w:rsidP="00EF6D2C">
            <w:pPr>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Maritime Vocabulary</w:t>
            </w:r>
          </w:p>
        </w:tc>
        <w:tc>
          <w:tcPr>
            <w:tcW w:w="0" w:type="auto"/>
            <w:tcBorders>
              <w:top w:val="none" w:sz="0" w:space="0" w:color="auto"/>
              <w:bottom w:val="none" w:sz="0" w:space="0" w:color="auto"/>
            </w:tcBorders>
            <w:hideMark/>
          </w:tcPr>
          <w:p w14:paraId="5EDD2A2B"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63.36</w:t>
            </w:r>
          </w:p>
        </w:tc>
        <w:tc>
          <w:tcPr>
            <w:tcW w:w="0" w:type="auto"/>
            <w:tcBorders>
              <w:top w:val="none" w:sz="0" w:space="0" w:color="auto"/>
              <w:bottom w:val="none" w:sz="0" w:space="0" w:color="auto"/>
            </w:tcBorders>
            <w:hideMark/>
          </w:tcPr>
          <w:p w14:paraId="65A799E5"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86.48</w:t>
            </w:r>
          </w:p>
        </w:tc>
        <w:tc>
          <w:tcPr>
            <w:tcW w:w="0" w:type="auto"/>
            <w:tcBorders>
              <w:top w:val="none" w:sz="0" w:space="0" w:color="auto"/>
              <w:bottom w:val="none" w:sz="0" w:space="0" w:color="auto"/>
            </w:tcBorders>
            <w:hideMark/>
          </w:tcPr>
          <w:p w14:paraId="69C7E412"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23.12</w:t>
            </w:r>
          </w:p>
        </w:tc>
        <w:tc>
          <w:tcPr>
            <w:tcW w:w="0" w:type="auto"/>
            <w:tcBorders>
              <w:top w:val="none" w:sz="0" w:space="0" w:color="auto"/>
              <w:bottom w:val="none" w:sz="0" w:space="0" w:color="auto"/>
            </w:tcBorders>
            <w:hideMark/>
          </w:tcPr>
          <w:p w14:paraId="34856660"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0.63</w:t>
            </w:r>
          </w:p>
        </w:tc>
        <w:tc>
          <w:tcPr>
            <w:tcW w:w="0" w:type="auto"/>
            <w:tcBorders>
              <w:top w:val="none" w:sz="0" w:space="0" w:color="auto"/>
              <w:bottom w:val="none" w:sz="0" w:space="0" w:color="auto"/>
            </w:tcBorders>
            <w:hideMark/>
          </w:tcPr>
          <w:p w14:paraId="7CB53090" w14:textId="77777777" w:rsidR="00B151F1" w:rsidRPr="00EF6D2C" w:rsidRDefault="00B151F1" w:rsidP="00EF6D2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Moderate</w:t>
            </w:r>
          </w:p>
        </w:tc>
      </w:tr>
    </w:tbl>
    <w:p w14:paraId="4DCF2A83" w14:textId="77777777" w:rsidR="00EF6D2C" w:rsidRDefault="00EF6D2C" w:rsidP="00EF6D2C">
      <w:pPr>
        <w:spacing w:after="0" w:line="240" w:lineRule="auto"/>
        <w:jc w:val="both"/>
        <w:rPr>
          <w:rFonts w:ascii="Times New Roman" w:eastAsia="Times New Roman" w:hAnsi="Times New Roman" w:cs="Times New Roman"/>
          <w:sz w:val="24"/>
          <w:szCs w:val="24"/>
        </w:rPr>
      </w:pPr>
    </w:p>
    <w:p w14:paraId="13DFF5CB" w14:textId="2CC99E6B" w:rsidR="00B151F1" w:rsidRPr="00EF6D2C" w:rsidRDefault="00B151F1" w:rsidP="00EF6D2C">
      <w:pPr>
        <w:spacing w:after="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The mean score increased from </w:t>
      </w:r>
      <w:r w:rsidRPr="00EF6D2C">
        <w:rPr>
          <w:rFonts w:ascii="Times New Roman" w:eastAsia="Times New Roman" w:hAnsi="Times New Roman" w:cs="Times New Roman"/>
          <w:bCs/>
          <w:sz w:val="24"/>
          <w:szCs w:val="24"/>
        </w:rPr>
        <w:t>63.36</w:t>
      </w:r>
      <w:r w:rsidRPr="00EF6D2C">
        <w:rPr>
          <w:rFonts w:ascii="Times New Roman" w:eastAsia="Times New Roman" w:hAnsi="Times New Roman" w:cs="Times New Roman"/>
          <w:sz w:val="24"/>
          <w:szCs w:val="24"/>
        </w:rPr>
        <w:t xml:space="preserve"> in the pre-test to </w:t>
      </w:r>
      <w:r w:rsidRPr="00EF6D2C">
        <w:rPr>
          <w:rFonts w:ascii="Times New Roman" w:eastAsia="Times New Roman" w:hAnsi="Times New Roman" w:cs="Times New Roman"/>
          <w:bCs/>
          <w:sz w:val="24"/>
          <w:szCs w:val="24"/>
        </w:rPr>
        <w:t>86.48</w:t>
      </w:r>
      <w:r w:rsidRPr="00EF6D2C">
        <w:rPr>
          <w:rFonts w:ascii="Times New Roman" w:eastAsia="Times New Roman" w:hAnsi="Times New Roman" w:cs="Times New Roman"/>
          <w:sz w:val="24"/>
          <w:szCs w:val="24"/>
        </w:rPr>
        <w:t xml:space="preserve"> in the post-test, resulting in a raw mean gain of </w:t>
      </w:r>
      <w:r w:rsidRPr="00EF6D2C">
        <w:rPr>
          <w:rFonts w:ascii="Times New Roman" w:eastAsia="Times New Roman" w:hAnsi="Times New Roman" w:cs="Times New Roman"/>
          <w:bCs/>
          <w:sz w:val="24"/>
          <w:szCs w:val="24"/>
        </w:rPr>
        <w:t>23.12 points</w:t>
      </w:r>
      <w:r w:rsidRPr="00EF6D2C">
        <w:rPr>
          <w:rFonts w:ascii="Times New Roman" w:eastAsia="Times New Roman" w:hAnsi="Times New Roman" w:cs="Times New Roman"/>
          <w:sz w:val="24"/>
          <w:szCs w:val="24"/>
        </w:rPr>
        <w:t>. The normalized gain (</w:t>
      </w:r>
      <w:r w:rsidRPr="00EF6D2C">
        <w:rPr>
          <w:rFonts w:ascii="Times New Roman" w:eastAsia="Times New Roman" w:hAnsi="Times New Roman" w:cs="Times New Roman"/>
          <w:i/>
          <w:iCs/>
          <w:sz w:val="24"/>
          <w:szCs w:val="24"/>
        </w:rPr>
        <w:t>g</w:t>
      </w:r>
      <w:r w:rsidRPr="00EF6D2C">
        <w:rPr>
          <w:rFonts w:ascii="Times New Roman" w:eastAsia="Times New Roman" w:hAnsi="Times New Roman" w:cs="Times New Roman"/>
          <w:sz w:val="24"/>
          <w:szCs w:val="24"/>
        </w:rPr>
        <w:t xml:space="preserve"> = 0.63) indicates a </w:t>
      </w:r>
      <w:r w:rsidRPr="00EF6D2C">
        <w:rPr>
          <w:rFonts w:ascii="Times New Roman" w:eastAsia="Times New Roman" w:hAnsi="Times New Roman" w:cs="Times New Roman"/>
          <w:bCs/>
          <w:sz w:val="24"/>
          <w:szCs w:val="24"/>
        </w:rPr>
        <w:t>moderate improvement</w:t>
      </w:r>
      <w:r w:rsidRPr="00EF6D2C">
        <w:rPr>
          <w:rFonts w:ascii="Times New Roman" w:eastAsia="Times New Roman" w:hAnsi="Times New Roman" w:cs="Times New Roman"/>
          <w:sz w:val="24"/>
          <w:szCs w:val="24"/>
        </w:rPr>
        <w:t xml:space="preserve"> in students' maritime vocabulary performance following the implementation of Google Forms-based formative assessment.</w:t>
      </w:r>
    </w:p>
    <w:p w14:paraId="0FCA4C55" w14:textId="77777777" w:rsidR="00EF6D2C" w:rsidRDefault="00EF6D2C" w:rsidP="00EF6D2C">
      <w:pPr>
        <w:spacing w:after="240" w:line="240" w:lineRule="auto"/>
        <w:jc w:val="both"/>
        <w:rPr>
          <w:rFonts w:ascii="Times New Roman" w:eastAsia="Times New Roman" w:hAnsi="Times New Roman" w:cs="Times New Roman"/>
          <w:b/>
          <w:bCs/>
          <w:sz w:val="24"/>
          <w:szCs w:val="24"/>
        </w:rPr>
      </w:pPr>
    </w:p>
    <w:p w14:paraId="20C6BD37" w14:textId="41B31F73"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The findings indicate a marked improvement in students’ </w:t>
      </w:r>
      <w:r w:rsidR="00B151F1" w:rsidRPr="00EF6D2C">
        <w:rPr>
          <w:rFonts w:ascii="Times New Roman" w:eastAsia="Times New Roman" w:hAnsi="Times New Roman" w:cs="Times New Roman"/>
          <w:sz w:val="24"/>
          <w:szCs w:val="24"/>
        </w:rPr>
        <w:t xml:space="preserve">performance on maritime vocabulary </w:t>
      </w:r>
      <w:r w:rsidRPr="00EF6D2C">
        <w:rPr>
          <w:rFonts w:ascii="Times New Roman" w:eastAsia="Times New Roman" w:hAnsi="Times New Roman" w:cs="Times New Roman"/>
          <w:sz w:val="24"/>
          <w:szCs w:val="24"/>
        </w:rPr>
        <w:t>following the implementation of Google Forms-based formative assessment. The mean score increased from 63.36 (</w:t>
      </w:r>
      <w:r w:rsidRPr="00EF6D2C">
        <w:rPr>
          <w:rFonts w:ascii="Times New Roman" w:eastAsia="Times New Roman" w:hAnsi="Times New Roman" w:cs="Times New Roman"/>
          <w:i/>
          <w:iCs/>
          <w:sz w:val="24"/>
          <w:szCs w:val="24"/>
        </w:rPr>
        <w:t>SD</w:t>
      </w:r>
      <w:r w:rsidRPr="00EF6D2C">
        <w:rPr>
          <w:rFonts w:ascii="Times New Roman" w:eastAsia="Times New Roman" w:hAnsi="Times New Roman" w:cs="Times New Roman"/>
          <w:sz w:val="24"/>
          <w:szCs w:val="24"/>
        </w:rPr>
        <w:t xml:space="preserve"> = 8.74) in the pre-test to 86.48 (</w:t>
      </w:r>
      <w:r w:rsidRPr="00EF6D2C">
        <w:rPr>
          <w:rFonts w:ascii="Times New Roman" w:eastAsia="Times New Roman" w:hAnsi="Times New Roman" w:cs="Times New Roman"/>
          <w:i/>
          <w:iCs/>
          <w:sz w:val="24"/>
          <w:szCs w:val="24"/>
        </w:rPr>
        <w:t>SD</w:t>
      </w:r>
      <w:r w:rsidRPr="00EF6D2C">
        <w:rPr>
          <w:rFonts w:ascii="Times New Roman" w:eastAsia="Times New Roman" w:hAnsi="Times New Roman" w:cs="Times New Roman"/>
          <w:sz w:val="24"/>
          <w:szCs w:val="24"/>
        </w:rPr>
        <w:t xml:space="preserve"> = 9.16) in the post-test, representing a mean gain of 23.12 points. The paired-samples </w:t>
      </w:r>
      <w:r w:rsidRPr="00EF6D2C">
        <w:rPr>
          <w:rFonts w:ascii="Times New Roman" w:eastAsia="Times New Roman" w:hAnsi="Times New Roman" w:cs="Times New Roman"/>
          <w:i/>
          <w:iCs/>
          <w:sz w:val="24"/>
          <w:szCs w:val="24"/>
        </w:rPr>
        <w:t>t</w:t>
      </w:r>
      <w:r w:rsidRPr="00EF6D2C">
        <w:rPr>
          <w:rFonts w:ascii="Times New Roman" w:eastAsia="Times New Roman" w:hAnsi="Times New Roman" w:cs="Times New Roman"/>
          <w:sz w:val="24"/>
          <w:szCs w:val="24"/>
        </w:rPr>
        <w:t xml:space="preserve">-test confirmed that this difference was statistically significant, </w:t>
      </w:r>
      <w:proofErr w:type="gramStart"/>
      <w:r w:rsidRPr="00EF6D2C">
        <w:rPr>
          <w:rFonts w:ascii="Times New Roman" w:eastAsia="Times New Roman" w:hAnsi="Times New Roman" w:cs="Times New Roman"/>
          <w:i/>
          <w:iCs/>
          <w:sz w:val="24"/>
          <w:szCs w:val="24"/>
        </w:rPr>
        <w:t>t</w:t>
      </w:r>
      <w:r w:rsidRPr="00EF6D2C">
        <w:rPr>
          <w:rFonts w:ascii="Times New Roman" w:eastAsia="Times New Roman" w:hAnsi="Times New Roman" w:cs="Times New Roman"/>
          <w:sz w:val="24"/>
          <w:szCs w:val="24"/>
        </w:rPr>
        <w:t>(</w:t>
      </w:r>
      <w:proofErr w:type="gramEnd"/>
      <w:r w:rsidRPr="00EF6D2C">
        <w:rPr>
          <w:rFonts w:ascii="Times New Roman" w:eastAsia="Times New Roman" w:hAnsi="Times New Roman" w:cs="Times New Roman"/>
          <w:sz w:val="24"/>
          <w:szCs w:val="24"/>
        </w:rPr>
        <w:t xml:space="preserve">24) = −27.45, </w:t>
      </w:r>
      <w:r w:rsidRPr="00EF6D2C">
        <w:rPr>
          <w:rFonts w:ascii="Times New Roman" w:eastAsia="Times New Roman" w:hAnsi="Times New Roman" w:cs="Times New Roman"/>
          <w:i/>
          <w:iCs/>
          <w:sz w:val="24"/>
          <w:szCs w:val="24"/>
        </w:rPr>
        <w:t>p</w:t>
      </w:r>
      <w:r w:rsidRPr="00EF6D2C">
        <w:rPr>
          <w:rFonts w:ascii="Times New Roman" w:eastAsia="Times New Roman" w:hAnsi="Times New Roman" w:cs="Times New Roman"/>
          <w:sz w:val="24"/>
          <w:szCs w:val="24"/>
        </w:rPr>
        <w:t xml:space="preserve"> &lt; .001. These findings provide evidence that students achieved substantially higher vocabulary scores after participating in the intervention. However, given the one-group pre-experimental design, the improvement should </w:t>
      </w:r>
      <w:r w:rsidRPr="00EF6D2C">
        <w:rPr>
          <w:rFonts w:ascii="Times New Roman" w:eastAsia="Times New Roman" w:hAnsi="Times New Roman" w:cs="Times New Roman"/>
          <w:sz w:val="24"/>
          <w:szCs w:val="24"/>
        </w:rPr>
        <w:lastRenderedPageBreak/>
        <w:t xml:space="preserve">be interpreted as being associated with the implementation of Google Forms-based formative assessment rather than as definitive evidence of causality. Nevertheless, the observed pattern supports the view of Irons and Elkington (2021) that formative assessment can </w:t>
      </w:r>
      <w:r w:rsidR="00B151F1" w:rsidRPr="00EF6D2C">
        <w:rPr>
          <w:rFonts w:ascii="Times New Roman" w:eastAsia="Times New Roman" w:hAnsi="Times New Roman" w:cs="Times New Roman"/>
          <w:sz w:val="24"/>
          <w:szCs w:val="24"/>
        </w:rPr>
        <w:t xml:space="preserve">serve beyond achievement measurement </w:t>
      </w:r>
      <w:r w:rsidRPr="00EF6D2C">
        <w:rPr>
          <w:rFonts w:ascii="Times New Roman" w:eastAsia="Times New Roman" w:hAnsi="Times New Roman" w:cs="Times New Roman"/>
          <w:sz w:val="24"/>
          <w:szCs w:val="24"/>
        </w:rPr>
        <w:t>by generating learning opportunities through continuous practice, monitoring, and feedback.</w:t>
      </w:r>
    </w:p>
    <w:p w14:paraId="03559E48"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The observed improvement may be explained by the learning processes embedded in the formative assessment cycle. Unlike conventional </w:t>
      </w:r>
      <w:r w:rsidR="00B151F1" w:rsidRPr="00EF6D2C">
        <w:rPr>
          <w:rFonts w:ascii="Times New Roman" w:eastAsia="Times New Roman" w:hAnsi="Times New Roman" w:cs="Times New Roman"/>
          <w:sz w:val="24"/>
          <w:szCs w:val="24"/>
        </w:rPr>
        <w:t>assessments</w:t>
      </w:r>
      <w:r w:rsidRPr="00EF6D2C">
        <w:rPr>
          <w:rFonts w:ascii="Times New Roman" w:eastAsia="Times New Roman" w:hAnsi="Times New Roman" w:cs="Times New Roman"/>
          <w:sz w:val="24"/>
          <w:szCs w:val="24"/>
        </w:rPr>
        <w:t xml:space="preserve"> conducted primarily at the end of instruction, the Google Forms-based activities provided students with recurring opportunities to </w:t>
      </w:r>
      <w:r w:rsidR="00B151F1" w:rsidRPr="00EF6D2C">
        <w:rPr>
          <w:rFonts w:ascii="Times New Roman" w:eastAsia="Times New Roman" w:hAnsi="Times New Roman" w:cs="Times New Roman"/>
          <w:sz w:val="24"/>
          <w:szCs w:val="24"/>
        </w:rPr>
        <w:t>review previously introduced maritime vocabulary and receive immediate feedback on</w:t>
      </w:r>
      <w:r w:rsidRPr="00EF6D2C">
        <w:rPr>
          <w:rFonts w:ascii="Times New Roman" w:eastAsia="Times New Roman" w:hAnsi="Times New Roman" w:cs="Times New Roman"/>
          <w:sz w:val="24"/>
          <w:szCs w:val="24"/>
        </w:rPr>
        <w:t xml:space="preserve"> their responses. Immediate feedback may have helped students recognize incorrect understanding while the target vocabulary was still being learned, thereby creating opportunities for subsequent correction and reinforcement. This interpretation is consistent with previous studies </w:t>
      </w:r>
      <w:r w:rsidR="00B151F1" w:rsidRPr="00EF6D2C">
        <w:rPr>
          <w:rFonts w:ascii="Times New Roman" w:eastAsia="Times New Roman" w:hAnsi="Times New Roman" w:cs="Times New Roman"/>
          <w:sz w:val="24"/>
          <w:szCs w:val="24"/>
        </w:rPr>
        <w:t>that highlight the role of feedback in</w:t>
      </w:r>
      <w:r w:rsidRPr="00EF6D2C">
        <w:rPr>
          <w:rFonts w:ascii="Times New Roman" w:eastAsia="Times New Roman" w:hAnsi="Times New Roman" w:cs="Times New Roman"/>
          <w:sz w:val="24"/>
          <w:szCs w:val="24"/>
        </w:rPr>
        <w:t xml:space="preserve"> vocabulary learning and language development (Hossain et al., 2024; </w:t>
      </w:r>
      <w:proofErr w:type="spellStart"/>
      <w:r w:rsidRPr="00EF6D2C">
        <w:rPr>
          <w:rFonts w:ascii="Times New Roman" w:eastAsia="Times New Roman" w:hAnsi="Times New Roman" w:cs="Times New Roman"/>
          <w:sz w:val="24"/>
          <w:szCs w:val="24"/>
        </w:rPr>
        <w:t>Zalisman</w:t>
      </w:r>
      <w:proofErr w:type="spellEnd"/>
      <w:r w:rsidRPr="00EF6D2C">
        <w:rPr>
          <w:rFonts w:ascii="Times New Roman" w:eastAsia="Times New Roman" w:hAnsi="Times New Roman" w:cs="Times New Roman"/>
          <w:sz w:val="24"/>
          <w:szCs w:val="24"/>
        </w:rPr>
        <w:t>, 2023). In addition, repeated encounters with maritime terminology through formative quizzes may have strengthened students’ familiarity with and retrieval of the target vocabulary. Zou et al. (2021) similarly emphasized the importance of repeated engagement with lexical items for vocabulary development. The findings</w:t>
      </w:r>
      <w:r w:rsidR="00B151F1" w:rsidRPr="00EF6D2C">
        <w:rPr>
          <w:rFonts w:ascii="Times New Roman" w:eastAsia="Times New Roman" w:hAnsi="Times New Roman" w:cs="Times New Roman"/>
          <w:sz w:val="24"/>
          <w:szCs w:val="24"/>
        </w:rPr>
        <w:t>, therefore,</w:t>
      </w:r>
      <w:r w:rsidRPr="00EF6D2C">
        <w:rPr>
          <w:rFonts w:ascii="Times New Roman" w:eastAsia="Times New Roman" w:hAnsi="Times New Roman" w:cs="Times New Roman"/>
          <w:sz w:val="24"/>
          <w:szCs w:val="24"/>
        </w:rPr>
        <w:t xml:space="preserve"> suggest that the value of Google Forms may lie not simply in digitizing vocabulary tests but in facilitating a recurring sequence of </w:t>
      </w:r>
      <w:r w:rsidRPr="00EF6D2C">
        <w:rPr>
          <w:rFonts w:ascii="Times New Roman" w:eastAsia="Times New Roman" w:hAnsi="Times New Roman" w:cs="Times New Roman"/>
          <w:bCs/>
          <w:sz w:val="24"/>
          <w:szCs w:val="24"/>
        </w:rPr>
        <w:t>retrieval, immediate feedback, review, and reinforcement</w:t>
      </w:r>
      <w:r w:rsidRPr="00EF6D2C">
        <w:rPr>
          <w:rFonts w:ascii="Times New Roman" w:eastAsia="Times New Roman" w:hAnsi="Times New Roman" w:cs="Times New Roman"/>
          <w:sz w:val="24"/>
          <w:szCs w:val="24"/>
        </w:rPr>
        <w:t>.</w:t>
      </w:r>
    </w:p>
    <w:p w14:paraId="06A5E595"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This interpretation extends previous research on digital formative assessment in an important way. Earlier studies have largely demonstrated the benefits of digital assessment technologies in general educational or English language-learning environments (Bond et al., 2021; </w:t>
      </w:r>
      <w:proofErr w:type="spellStart"/>
      <w:r w:rsidRPr="00EF6D2C">
        <w:rPr>
          <w:rFonts w:ascii="Times New Roman" w:eastAsia="Times New Roman" w:hAnsi="Times New Roman" w:cs="Times New Roman"/>
          <w:sz w:val="24"/>
          <w:szCs w:val="24"/>
        </w:rPr>
        <w:t>Hockly</w:t>
      </w:r>
      <w:proofErr w:type="spellEnd"/>
      <w:r w:rsidRPr="00EF6D2C">
        <w:rPr>
          <w:rFonts w:ascii="Times New Roman" w:eastAsia="Times New Roman" w:hAnsi="Times New Roman" w:cs="Times New Roman"/>
          <w:sz w:val="24"/>
          <w:szCs w:val="24"/>
        </w:rPr>
        <w:t xml:space="preserve">, 2024; Moorhouse &amp; Kohnke, 2023). Similarly, studies examining Google Forms have primarily emphasized its accessibility, assessment efficiency, and </w:t>
      </w:r>
      <w:r w:rsidR="00B151F1" w:rsidRPr="00EF6D2C">
        <w:rPr>
          <w:rFonts w:ascii="Times New Roman" w:eastAsia="Times New Roman" w:hAnsi="Times New Roman" w:cs="Times New Roman"/>
          <w:sz w:val="24"/>
          <w:szCs w:val="24"/>
        </w:rPr>
        <w:t xml:space="preserve">automated feedback capabilities </w:t>
      </w:r>
      <w:r w:rsidRPr="00EF6D2C">
        <w:rPr>
          <w:rFonts w:ascii="Times New Roman" w:eastAsia="Times New Roman" w:hAnsi="Times New Roman" w:cs="Times New Roman"/>
          <w:sz w:val="24"/>
          <w:szCs w:val="24"/>
        </w:rPr>
        <w:t>(Singaram, 2022). The present findings differ in their disciplinary focus by showing how these formative affordances can be applied to the acquisition of specialized maritime terminology. This distinction is significant because maritime vocabulary is not simply a subset of general English vocabulary; it is closely connected to professional functions involving navigation, ship operations, safety procedures, and emergency communication (Bocanegra-Valle, 2024). Thus, the present study extends existing evidence on digital formative assessment from general language learning to a specialized English-for-Specific-Purposes context in which accurate lexical knowledge has direct professional relevance.</w:t>
      </w:r>
    </w:p>
    <w:p w14:paraId="25654C2A"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The findings are also relevant to the relationship between Maritime English education and professional preparedness. Inadequate understanding of specialized terminology may </w:t>
      </w:r>
      <w:r w:rsidR="00B151F1" w:rsidRPr="00EF6D2C">
        <w:rPr>
          <w:rFonts w:ascii="Times New Roman" w:eastAsia="Times New Roman" w:hAnsi="Times New Roman" w:cs="Times New Roman"/>
          <w:sz w:val="24"/>
          <w:szCs w:val="24"/>
        </w:rPr>
        <w:t>make it difficult to interpret operational instructions and participate</w:t>
      </w:r>
      <w:r w:rsidRPr="00EF6D2C">
        <w:rPr>
          <w:rFonts w:ascii="Times New Roman" w:eastAsia="Times New Roman" w:hAnsi="Times New Roman" w:cs="Times New Roman"/>
          <w:sz w:val="24"/>
          <w:szCs w:val="24"/>
        </w:rPr>
        <w:t xml:space="preserve"> effectively in professional communication. The substantial improvement observed after the intervention</w:t>
      </w:r>
      <w:r w:rsidR="00B151F1" w:rsidRPr="00EF6D2C">
        <w:rPr>
          <w:rFonts w:ascii="Times New Roman" w:eastAsia="Times New Roman" w:hAnsi="Times New Roman" w:cs="Times New Roman"/>
          <w:sz w:val="24"/>
          <w:szCs w:val="24"/>
        </w:rPr>
        <w:t>, therefore,</w:t>
      </w:r>
      <w:r w:rsidRPr="00EF6D2C">
        <w:rPr>
          <w:rFonts w:ascii="Times New Roman" w:eastAsia="Times New Roman" w:hAnsi="Times New Roman" w:cs="Times New Roman"/>
          <w:sz w:val="24"/>
          <w:szCs w:val="24"/>
        </w:rPr>
        <w:t xml:space="preserve"> suggests the pedagogical potential of integrating vocabulary practice more systematically into assessment activities. Nevertheless, improved vocabulary test performance should not be </w:t>
      </w:r>
      <w:r w:rsidRPr="00EF6D2C">
        <w:rPr>
          <w:rFonts w:ascii="Times New Roman" w:eastAsia="Times New Roman" w:hAnsi="Times New Roman" w:cs="Times New Roman"/>
          <w:sz w:val="24"/>
          <w:szCs w:val="24"/>
        </w:rPr>
        <w:lastRenderedPageBreak/>
        <w:t>interpreted as direct evidence of improved workplace communication or maritime safety because these outcomes were not measured in the present study. Rather, vocabulary mastery represents a foundational competence that may support the development of broader professional communication abilities. This distinction is particularly important in the context of nautical education, where future research should examine whether vocabulary gains obtained through digital formative assessment can be transferred to authentic tasks such as responding to safety instructions, interpreting operational messages, and using Standard Marine Communication Phrases.</w:t>
      </w:r>
    </w:p>
    <w:p w14:paraId="3A27A23A"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 xml:space="preserve">The novelty of the present study lies in the intersection of </w:t>
      </w:r>
      <w:r w:rsidRPr="00EF6D2C">
        <w:rPr>
          <w:rFonts w:ascii="Times New Roman" w:eastAsia="Times New Roman" w:hAnsi="Times New Roman" w:cs="Times New Roman"/>
          <w:bCs/>
          <w:sz w:val="24"/>
          <w:szCs w:val="24"/>
        </w:rPr>
        <w:t>digital formative assessment, specialized maritime vocabulary, and nautical education</w:t>
      </w:r>
      <w:r w:rsidRPr="00EF6D2C">
        <w:rPr>
          <w:rFonts w:ascii="Times New Roman" w:eastAsia="Times New Roman" w:hAnsi="Times New Roman" w:cs="Times New Roman"/>
          <w:sz w:val="24"/>
          <w:szCs w:val="24"/>
        </w:rPr>
        <w:t xml:space="preserve">, particularly within the underrepresented context of Sorong. While previous studies have examined digital assessment in general English learning and </w:t>
      </w:r>
      <w:r w:rsidR="00B151F1" w:rsidRPr="00EF6D2C">
        <w:rPr>
          <w:rFonts w:ascii="Times New Roman" w:eastAsia="Times New Roman" w:hAnsi="Times New Roman" w:cs="Times New Roman"/>
          <w:sz w:val="24"/>
          <w:szCs w:val="24"/>
        </w:rPr>
        <w:t>others have investigated the language difficulties experienced by maritime students, limited research has empirically linked</w:t>
      </w:r>
      <w:r w:rsidRPr="00EF6D2C">
        <w:rPr>
          <w:rFonts w:ascii="Times New Roman" w:eastAsia="Times New Roman" w:hAnsi="Times New Roman" w:cs="Times New Roman"/>
          <w:sz w:val="24"/>
          <w:szCs w:val="24"/>
        </w:rPr>
        <w:t xml:space="preserve"> the formative affordances of Google Forms with the systematic reinforcement of specialized maritime vocabulary. More specifically, this study conceptualizes Google Forms not merely as a platform for administering tests but as a technological medium for implementing a continuous formative cycle involving repeated vocabulary retrieval, automated scoring, immediate feedback, and subsequent reinforcement. In this respect, the study extends formative assessment into a specialized professional language-learning domain and provides context-specific evidence from maritime education in Eastern Indonesia. The contribution is therefore not the use of Google Forms itself, but its pedagogically structured application to an underexplored area of technical vocabulary development.</w:t>
      </w:r>
    </w:p>
    <w:p w14:paraId="1D87630A"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From a pedagogical perspective, these findings suggest that maritime instructors may incorporate short and regular digital formative assessments into vocabulary instruction rather than relying predominantly on end-of-course or summative testing. Such an approach can create additional opportunities for students to practice technical terminology and receive timely information about their performance without requiring assessment to be separated from the learning process. Compared with previous applications of Google Forms that have largely focused on general language learning or assessment efficiency (Singaram, 2022; Moorhouse &amp; Kohnke, 2023), the present study highlights its potential for supporting vocabulary with specific operational and professional relevance. Maritime institutions may therefore consider digital formative assessment as a complementary instructional strategy for strengthening technical vocabulary development. However, its effectiveness is likely to depend not simply on the technology employed but on how assessment tasks, feedback, and opportunities for subsequent practice are pedagogically designed and integrated into Maritime English instruction.</w:t>
      </w:r>
    </w:p>
    <w:p w14:paraId="6DEF338C"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The findings also establish several directions for further investigation. Because the present study employed a one-group pretest–posttest design with a relatively small sample from a single educational context, future research should use quasi-experimental or randomized designs with comparison groups and larger multi-</w:t>
      </w:r>
      <w:r w:rsidRPr="00EF6D2C">
        <w:rPr>
          <w:rFonts w:ascii="Times New Roman" w:eastAsia="Times New Roman" w:hAnsi="Times New Roman" w:cs="Times New Roman"/>
          <w:sz w:val="24"/>
          <w:szCs w:val="24"/>
        </w:rPr>
        <w:lastRenderedPageBreak/>
        <w:t xml:space="preserve">institutional samples to provide stronger evidence regarding the effects and generalizability of digital formative assessment. Longitudinal research is also needed to determine whether the observed vocabulary gains are retained over time and, more importantly, whether they transfer from vocabulary-test performance to authentic maritime communication. Future studies could therefore incorporate performance-based outcomes involving listening to operational instructions, using maritime terminology in simulated communication, and responding to routine and emergency scenarios. Further investigation of artificial intelligence-supported feedback, mobile learning, learning management systems, and gamified formative assessment may also clarify whether different technological affordances can strengthen the formative cycle identified in this study. Such research would move the field beyond examining whether digital assessment improves scores toward understanding </w:t>
      </w:r>
      <w:r w:rsidRPr="00EF6D2C">
        <w:rPr>
          <w:rFonts w:ascii="Times New Roman" w:eastAsia="Times New Roman" w:hAnsi="Times New Roman" w:cs="Times New Roman"/>
          <w:bCs/>
          <w:sz w:val="24"/>
          <w:szCs w:val="24"/>
        </w:rPr>
        <w:t>how, under what conditions, and to what extent technology-supported formative assessment contributes to sustainable Maritime English competence and professional readiness</w:t>
      </w:r>
      <w:r w:rsidRPr="00EF6D2C">
        <w:rPr>
          <w:rFonts w:ascii="Times New Roman" w:eastAsia="Times New Roman" w:hAnsi="Times New Roman" w:cs="Times New Roman"/>
          <w:sz w:val="24"/>
          <w:szCs w:val="24"/>
        </w:rPr>
        <w:t>.</w:t>
      </w:r>
    </w:p>
    <w:p w14:paraId="0C99758D" w14:textId="77777777" w:rsidR="00557538" w:rsidRPr="00EF6D2C" w:rsidRDefault="00C835D0" w:rsidP="00EF6D2C">
      <w:pPr>
        <w:keepNext/>
        <w:spacing w:after="240" w:line="240" w:lineRule="auto"/>
        <w:jc w:val="both"/>
        <w:rPr>
          <w:rFonts w:ascii="Times New Roman" w:eastAsia="Times New Roman" w:hAnsi="Times New Roman" w:cs="Times New Roman"/>
          <w:b/>
          <w:sz w:val="24"/>
          <w:szCs w:val="24"/>
        </w:rPr>
      </w:pPr>
      <w:r w:rsidRPr="00EF6D2C">
        <w:rPr>
          <w:rFonts w:ascii="Times New Roman" w:eastAsia="Times New Roman" w:hAnsi="Times New Roman" w:cs="Times New Roman"/>
          <w:b/>
          <w:sz w:val="24"/>
          <w:szCs w:val="24"/>
        </w:rPr>
        <w:t>CONCLUSION</w:t>
      </w:r>
    </w:p>
    <w:p w14:paraId="763F6714"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This study extends formative assessment into the specialized context of Maritime English vocabulary instruction, an area that remains underexplored in technology-enhanced language-learning research. Its primary contribution lies in connecting specialized vocabulary acquisition, digital formative assessment, and maritime education. The findings indicate that students achieved substantially higher scores on maritime vocabulary following the implementation of Google Forms-based formative assessment. This suggests that digital assessment can support vocabulary learning when structured around repeated practice, immediate feedback, review, and reinforcement. Rather than positioning Google Forms merely as a testing platform, this study highlights its potential as a medium for implementing a continuous formative learning cycle. The evidence from maritime education in Sorong also provides a locally grounded contribution to the broader literature on technology-enhanced learning in specialized and professionally oriented English education.</w:t>
      </w:r>
    </w:p>
    <w:p w14:paraId="796267B1" w14:textId="77777777" w:rsidR="00BA5022" w:rsidRPr="00EF6D2C" w:rsidRDefault="00BA5022" w:rsidP="00EF6D2C">
      <w:pPr>
        <w:spacing w:after="240" w:line="240" w:lineRule="auto"/>
        <w:jc w:val="both"/>
        <w:rPr>
          <w:rFonts w:ascii="Times New Roman" w:eastAsia="Times New Roman" w:hAnsi="Times New Roman" w:cs="Times New Roman"/>
          <w:sz w:val="24"/>
          <w:szCs w:val="24"/>
        </w:rPr>
      </w:pPr>
      <w:r w:rsidRPr="00EF6D2C">
        <w:rPr>
          <w:rFonts w:ascii="Times New Roman" w:eastAsia="Times New Roman" w:hAnsi="Times New Roman" w:cs="Times New Roman"/>
          <w:sz w:val="24"/>
          <w:szCs w:val="24"/>
        </w:rPr>
        <w:t>The study further highlights the potential value of shifting from assessment practices focused primarily on measuring learning outcomes to approaches that actively support the learning process. Nevertheless, improved vocabulary performance should not be interpreted as direct evidence of enhanced workplace communication or maritime safety, as these outcomes were not measured. Future research should examine whether vocabulary gains are retained over time and transferred to authentic maritime communication tasks, including operational instructions, safety communication, and routine and emergency interactions. Studies involving control groups, larger multi-institutional samples, and performance-based measures are also needed to provide stronger causal and generalizable evidence. Further integration with artificial intelligence-supported feedback, mobile learning, and authentic maritime simulations may contribute to a more comprehensive approach to technology-enhanced Maritime English education.</w:t>
      </w:r>
    </w:p>
    <w:p w14:paraId="4F30F40D" w14:textId="77777777" w:rsidR="00881566" w:rsidRDefault="00C835D0" w:rsidP="00EF6D2C">
      <w:pPr>
        <w:keepNext/>
        <w:spacing w:after="0" w:line="240" w:lineRule="auto"/>
        <w:jc w:val="both"/>
        <w:rPr>
          <w:rFonts w:ascii="Times New Roman" w:hAnsi="Times New Roman" w:cs="Times New Roman"/>
          <w:b/>
          <w:sz w:val="24"/>
          <w:szCs w:val="24"/>
        </w:rPr>
      </w:pPr>
      <w:r w:rsidRPr="00EF6D2C">
        <w:rPr>
          <w:rFonts w:ascii="Times New Roman" w:hAnsi="Times New Roman" w:cs="Times New Roman"/>
          <w:b/>
          <w:sz w:val="24"/>
          <w:szCs w:val="24"/>
        </w:rPr>
        <w:lastRenderedPageBreak/>
        <w:t>REFERENCES</w:t>
      </w:r>
    </w:p>
    <w:p w14:paraId="5962D95A" w14:textId="77777777" w:rsidR="00EF6D2C" w:rsidRPr="00EF6D2C" w:rsidRDefault="00EF6D2C" w:rsidP="00EF6D2C">
      <w:pPr>
        <w:keepNext/>
        <w:spacing w:after="0" w:line="240" w:lineRule="auto"/>
        <w:jc w:val="both"/>
        <w:rPr>
          <w:rFonts w:ascii="Times New Roman" w:hAnsi="Times New Roman" w:cs="Times New Roman"/>
          <w:b/>
          <w:sz w:val="24"/>
          <w:szCs w:val="24"/>
        </w:rPr>
      </w:pPr>
    </w:p>
    <w:p w14:paraId="240F6F37"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Abimanto, D., &amp; Mahendro, I. (2025). Understanding the challenges of maritime English terminologies among Indonesian cadets. </w:t>
      </w:r>
      <w:r w:rsidRPr="00EF6D2C">
        <w:rPr>
          <w:rFonts w:ascii="Times New Roman" w:hAnsi="Times New Roman"/>
          <w:i/>
          <w:sz w:val="24"/>
          <w:szCs w:val="24"/>
        </w:rPr>
        <w:t>Jurnal Sains Dan Teknologi Maritim, 25</w:t>
      </w:r>
      <w:r w:rsidRPr="00EF6D2C">
        <w:rPr>
          <w:rFonts w:ascii="Times New Roman" w:hAnsi="Times New Roman"/>
          <w:sz w:val="24"/>
          <w:szCs w:val="24"/>
        </w:rPr>
        <w:t>(2), 263–274.</w:t>
      </w:r>
    </w:p>
    <w:p w14:paraId="7F2A584F" w14:textId="77777777" w:rsidR="00C835D0" w:rsidRPr="00EF6D2C" w:rsidRDefault="00C835D0" w:rsidP="00EF6D2C">
      <w:pPr>
        <w:spacing w:after="0" w:line="240" w:lineRule="auto"/>
        <w:ind w:left="720" w:hanging="720"/>
        <w:jc w:val="both"/>
        <w:rPr>
          <w:rFonts w:ascii="Times New Roman" w:hAnsi="Times New Roman" w:cs="Times New Roman"/>
          <w:color w:val="222222"/>
          <w:sz w:val="24"/>
          <w:szCs w:val="24"/>
          <w:shd w:val="clear" w:color="auto" w:fill="FFFFFF"/>
        </w:rPr>
      </w:pPr>
      <w:r w:rsidRPr="00EF6D2C">
        <w:rPr>
          <w:rFonts w:ascii="Times New Roman" w:hAnsi="Times New Roman"/>
          <w:sz w:val="24"/>
          <w:szCs w:val="24"/>
        </w:rPr>
        <w:t xml:space="preserve">Al-Maroof, R. A. S., &amp; Al-Emran, M. (2018). </w:t>
      </w:r>
      <w:proofErr w:type="gramStart"/>
      <w:r w:rsidRPr="00EF6D2C">
        <w:rPr>
          <w:rFonts w:ascii="Times New Roman" w:hAnsi="Times New Roman"/>
          <w:sz w:val="24"/>
          <w:szCs w:val="24"/>
        </w:rPr>
        <w:t>Students</w:t>
      </w:r>
      <w:proofErr w:type="gramEnd"/>
      <w:r w:rsidRPr="00EF6D2C">
        <w:rPr>
          <w:rFonts w:ascii="Times New Roman" w:hAnsi="Times New Roman"/>
          <w:sz w:val="24"/>
          <w:szCs w:val="24"/>
        </w:rPr>
        <w:t xml:space="preserve"> acceptance of Google Classroom: An exploratory study using PLS-SEM approach. </w:t>
      </w:r>
      <w:r w:rsidRPr="00EF6D2C">
        <w:rPr>
          <w:rFonts w:ascii="Times New Roman" w:hAnsi="Times New Roman"/>
          <w:i/>
          <w:sz w:val="24"/>
          <w:szCs w:val="24"/>
        </w:rPr>
        <w:t>International Journal of Emerging Technologies in Learning (Online), 13</w:t>
      </w:r>
      <w:r w:rsidRPr="00EF6D2C">
        <w:rPr>
          <w:rFonts w:ascii="Times New Roman" w:hAnsi="Times New Roman"/>
          <w:sz w:val="24"/>
          <w:szCs w:val="24"/>
        </w:rPr>
        <w:t>(6), 112.</w:t>
      </w:r>
    </w:p>
    <w:p w14:paraId="168ACBE8"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Anders, J., Foliano, F., Bursnall, M., Dorsett, R., Hudson, N., Runge, J., &amp; Speckesser, S. (2022). The effect of embedding formative assessment on pupil attainment. </w:t>
      </w:r>
      <w:r w:rsidRPr="00EF6D2C">
        <w:rPr>
          <w:rFonts w:ascii="Times New Roman" w:hAnsi="Times New Roman"/>
          <w:i/>
          <w:sz w:val="24"/>
          <w:szCs w:val="24"/>
        </w:rPr>
        <w:t>Journal of Research on Educational Effectiveness, 15</w:t>
      </w:r>
      <w:r w:rsidRPr="00EF6D2C">
        <w:rPr>
          <w:rFonts w:ascii="Times New Roman" w:hAnsi="Times New Roman"/>
          <w:sz w:val="24"/>
          <w:szCs w:val="24"/>
        </w:rPr>
        <w:t>(4), 748–779.</w:t>
      </w:r>
    </w:p>
    <w:p w14:paraId="65BD4AD6"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Bocanegra-Valle, A. (2024). The language of shipping forecasts: A corpus-driven study of specialized terms and phraseological units. </w:t>
      </w:r>
      <w:r w:rsidRPr="00EF6D2C">
        <w:rPr>
          <w:rFonts w:ascii="Times New Roman" w:hAnsi="Times New Roman"/>
          <w:i/>
          <w:sz w:val="24"/>
          <w:szCs w:val="24"/>
        </w:rPr>
        <w:t>Aspects of cognitive terminology studies: Theoretical considerations and the role of metaphor in terminology, 109</w:t>
      </w:r>
      <w:r w:rsidRPr="00EF6D2C">
        <w:rPr>
          <w:rFonts w:ascii="Times New Roman" w:hAnsi="Times New Roman"/>
          <w:sz w:val="24"/>
          <w:szCs w:val="24"/>
        </w:rPr>
        <w:t>–130.</w:t>
      </w:r>
    </w:p>
    <w:p w14:paraId="29ECDF7E"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Bond, M., Bedenlier, S., Marín, V. I., &amp; Händel, M. (2021). Emergency remote teaching in higher education: Mapping the first global online semester. </w:t>
      </w:r>
      <w:r w:rsidRPr="00EF6D2C">
        <w:rPr>
          <w:rFonts w:ascii="Times New Roman" w:hAnsi="Times New Roman"/>
          <w:i/>
          <w:sz w:val="24"/>
          <w:szCs w:val="24"/>
        </w:rPr>
        <w:t>International journal of educational technology in higher education, 18</w:t>
      </w:r>
      <w:r w:rsidRPr="00EF6D2C">
        <w:rPr>
          <w:rFonts w:ascii="Times New Roman" w:hAnsi="Times New Roman"/>
          <w:sz w:val="24"/>
          <w:szCs w:val="24"/>
        </w:rPr>
        <w:t>(1), 50.</w:t>
      </w:r>
    </w:p>
    <w:p w14:paraId="7F469FE3"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Carless, D., &amp; Winstone, N. (2023). Teacher feedback literacy and its interplay with student feedback literacy. </w:t>
      </w:r>
      <w:r w:rsidRPr="00EF6D2C">
        <w:rPr>
          <w:rFonts w:ascii="Times New Roman" w:hAnsi="Times New Roman"/>
          <w:i/>
          <w:sz w:val="24"/>
          <w:szCs w:val="24"/>
        </w:rPr>
        <w:t>Teaching in higher education, 28</w:t>
      </w:r>
      <w:r w:rsidRPr="00EF6D2C">
        <w:rPr>
          <w:rFonts w:ascii="Times New Roman" w:hAnsi="Times New Roman"/>
          <w:sz w:val="24"/>
          <w:szCs w:val="24"/>
        </w:rPr>
        <w:t>(1), 150–163.</w:t>
      </w:r>
    </w:p>
    <w:p w14:paraId="5370D3BB"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Dewi, D. S., Manurung, S., Manuhutu, N., Saputro, I. E., Widhiyanto, W., Wahyuni, S., &amp; Ardhi, M. A. (2025). Bridging theory and practice through real-world language assessment design. </w:t>
      </w:r>
      <w:r w:rsidRPr="00EF6D2C">
        <w:rPr>
          <w:rFonts w:ascii="Times New Roman" w:hAnsi="Times New Roman"/>
          <w:i/>
          <w:sz w:val="24"/>
          <w:szCs w:val="24"/>
        </w:rPr>
        <w:t>Vision: Journal for Language and Foreign Language Learning, 14</w:t>
      </w:r>
      <w:r w:rsidRPr="00EF6D2C">
        <w:rPr>
          <w:rFonts w:ascii="Times New Roman" w:hAnsi="Times New Roman"/>
          <w:sz w:val="24"/>
          <w:szCs w:val="24"/>
        </w:rPr>
        <w:t>(1).</w:t>
      </w:r>
    </w:p>
    <w:p w14:paraId="2A7787F9"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Elkington, S., &amp; Irons, A. (2025). Formative assessment and feedback in post-digital higher education. In </w:t>
      </w:r>
      <w:r w:rsidRPr="00EF6D2C">
        <w:rPr>
          <w:rFonts w:ascii="Times New Roman" w:hAnsi="Times New Roman"/>
          <w:i/>
          <w:sz w:val="24"/>
          <w:szCs w:val="24"/>
        </w:rPr>
        <w:t>Formative Assessment and Feedback in Post-Digital Learning Environments</w:t>
      </w:r>
      <w:r w:rsidRPr="00EF6D2C">
        <w:rPr>
          <w:rFonts w:ascii="Times New Roman" w:hAnsi="Times New Roman"/>
          <w:sz w:val="24"/>
          <w:szCs w:val="24"/>
        </w:rPr>
        <w:t xml:space="preserve"> (pp. 9–28). Routledge.</w:t>
      </w:r>
    </w:p>
    <w:p w14:paraId="46A82988"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Hockly, N. (2024). Dialogic artefacts: mediating critical perspectives on learning technologies in English language teaching (Doctoral dissertation, University of Warwick).</w:t>
      </w:r>
    </w:p>
    <w:p w14:paraId="3C4E2A96"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Hossain, K. I., Ahmed, M. K., &amp; Mahmud, M. S. (2024). A comprehensive review on the impact of teacher feedback in language development for ESL/EFL learners. </w:t>
      </w:r>
      <w:r w:rsidRPr="00EF6D2C">
        <w:rPr>
          <w:rFonts w:ascii="Times New Roman" w:hAnsi="Times New Roman"/>
          <w:i/>
          <w:sz w:val="24"/>
          <w:szCs w:val="24"/>
        </w:rPr>
        <w:t>IUBAT Review, 7</w:t>
      </w:r>
      <w:r w:rsidRPr="00EF6D2C">
        <w:rPr>
          <w:rFonts w:ascii="Times New Roman" w:hAnsi="Times New Roman"/>
          <w:sz w:val="24"/>
          <w:szCs w:val="24"/>
        </w:rPr>
        <w:t>(1), 218–229.</w:t>
      </w:r>
    </w:p>
    <w:p w14:paraId="1DC490B7"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Irons, A., &amp; Elkington, S. (2021). Enhancing learning through formative assessment and feedback. Routledge.</w:t>
      </w:r>
    </w:p>
    <w:p w14:paraId="18F07641"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Isnaini, R., &amp; Firdaus, M. (2025). Formative use of Wordwall in supporting vocabulary and reading comprehension achievement among elementary students. </w:t>
      </w:r>
      <w:r w:rsidRPr="00EF6D2C">
        <w:rPr>
          <w:rFonts w:ascii="Times New Roman" w:hAnsi="Times New Roman"/>
          <w:i/>
          <w:sz w:val="24"/>
          <w:szCs w:val="24"/>
        </w:rPr>
        <w:t>Jurnal CULTURE (Culture, Language, and Literature Review), 12</w:t>
      </w:r>
      <w:r w:rsidRPr="00EF6D2C">
        <w:rPr>
          <w:rFonts w:ascii="Times New Roman" w:hAnsi="Times New Roman"/>
          <w:sz w:val="24"/>
          <w:szCs w:val="24"/>
        </w:rPr>
        <w:t>(2), 111–122.</w:t>
      </w:r>
    </w:p>
    <w:p w14:paraId="5BF550D0"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Jones, K. (2021). Wiliam &amp; Leahy's Five Formative Assessment Strategies in Action.</w:t>
      </w:r>
    </w:p>
    <w:p w14:paraId="6D2A140D" w14:textId="77777777" w:rsidR="00C835D0" w:rsidRPr="00EF6D2C" w:rsidRDefault="00C835D0" w:rsidP="00EF6D2C">
      <w:pPr>
        <w:spacing w:after="0" w:line="240" w:lineRule="auto"/>
        <w:ind w:left="720" w:hanging="720"/>
        <w:jc w:val="both"/>
        <w:rPr>
          <w:rFonts w:ascii="Times New Roman" w:hAnsi="Times New Roman" w:cs="Times New Roman"/>
          <w:color w:val="222222"/>
          <w:sz w:val="24"/>
          <w:szCs w:val="24"/>
          <w:shd w:val="clear" w:color="auto" w:fill="FFFFFF"/>
        </w:rPr>
      </w:pPr>
      <w:r w:rsidRPr="00EF6D2C">
        <w:rPr>
          <w:rFonts w:ascii="Times New Roman" w:hAnsi="Times New Roman"/>
          <w:sz w:val="24"/>
          <w:szCs w:val="24"/>
        </w:rPr>
        <w:t xml:space="preserve">Masita, M., &amp; Fitri, N. (2020). The use of Plickers for formative assessment of vocabulary mastery. </w:t>
      </w:r>
      <w:r w:rsidRPr="00EF6D2C">
        <w:rPr>
          <w:rFonts w:ascii="Times New Roman" w:hAnsi="Times New Roman"/>
          <w:i/>
          <w:sz w:val="24"/>
          <w:szCs w:val="24"/>
        </w:rPr>
        <w:t>Ethical Lingua: Journal of Language Teaching and Literature, 7</w:t>
      </w:r>
      <w:r w:rsidRPr="00EF6D2C">
        <w:rPr>
          <w:rFonts w:ascii="Times New Roman" w:hAnsi="Times New Roman"/>
          <w:sz w:val="24"/>
          <w:szCs w:val="24"/>
        </w:rPr>
        <w:t>(2), 311–320.</w:t>
      </w:r>
    </w:p>
    <w:p w14:paraId="0250246C"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lastRenderedPageBreak/>
        <w:t>Maung, Z. M. Analysis on Effectiveness of Maritime Education and Training Courses in Private Maritime Training Centers (Zaw Maung Maung, 2025) (Doctoral dissertation, MERAL Portal).</w:t>
      </w:r>
    </w:p>
    <w:p w14:paraId="5791F3B6"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Mirzapour Kouhdasht, A. (2023). Transformative Applications of Technology in English Language Education: A literature review over the last two decades. </w:t>
      </w:r>
      <w:r w:rsidRPr="00EF6D2C">
        <w:rPr>
          <w:rFonts w:ascii="Times New Roman" w:hAnsi="Times New Roman"/>
          <w:i/>
          <w:sz w:val="24"/>
          <w:szCs w:val="24"/>
        </w:rPr>
        <w:t>Technology Assisted Language Education, 1</w:t>
      </w:r>
      <w:r w:rsidRPr="00EF6D2C">
        <w:rPr>
          <w:rFonts w:ascii="Times New Roman" w:hAnsi="Times New Roman"/>
          <w:sz w:val="24"/>
          <w:szCs w:val="24"/>
        </w:rPr>
        <w:t>(3), 45–62.</w:t>
      </w:r>
    </w:p>
    <w:p w14:paraId="153F7AF8"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Moore, J. N., &amp; Nordquist, M. H. (Eds.). (2023). Current maritime issues and the International Maritime Organization.</w:t>
      </w:r>
    </w:p>
    <w:p w14:paraId="3F5D2B26"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Moorhouse, B. L., &amp; Kohnke, L. (2023). Conducting formative assessment during synchronous online lessons: University teachers’ challenges and pedagogical strategies. </w:t>
      </w:r>
      <w:r w:rsidRPr="00EF6D2C">
        <w:rPr>
          <w:rFonts w:ascii="Times New Roman" w:hAnsi="Times New Roman"/>
          <w:i/>
          <w:sz w:val="24"/>
          <w:szCs w:val="24"/>
        </w:rPr>
        <w:t>Pedagogies: An International Journal, 18</w:t>
      </w:r>
      <w:r w:rsidRPr="00EF6D2C">
        <w:rPr>
          <w:rFonts w:ascii="Times New Roman" w:hAnsi="Times New Roman"/>
          <w:sz w:val="24"/>
          <w:szCs w:val="24"/>
        </w:rPr>
        <w:t>(3), 431–449.</w:t>
      </w:r>
    </w:p>
    <w:p w14:paraId="744D2D57"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Nurdin, M., Rosiana, E., &amp; Rahman, M. A. (2023). Investigating maritime cadets' difficulties with English speaking at Nusantara Maritime Academy Bnjarmasin. </w:t>
      </w:r>
      <w:r w:rsidRPr="00EF6D2C">
        <w:rPr>
          <w:rFonts w:ascii="Times New Roman" w:hAnsi="Times New Roman"/>
          <w:i/>
          <w:sz w:val="24"/>
          <w:szCs w:val="24"/>
        </w:rPr>
        <w:t>Pena Jangkar, 2</w:t>
      </w:r>
      <w:r w:rsidRPr="00EF6D2C">
        <w:rPr>
          <w:rFonts w:ascii="Times New Roman" w:hAnsi="Times New Roman"/>
          <w:sz w:val="24"/>
          <w:szCs w:val="24"/>
        </w:rPr>
        <w:t>(2), 1–10.</w:t>
      </w:r>
    </w:p>
    <w:p w14:paraId="4FD148F5"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Nursyam, N., Bungin, S. S., Tandung, A. L., &amp; Tjahjanto, R. (2025). Teaching Maritime English for Safety Communication: Evidence from Vessel Traffic Service Operation. </w:t>
      </w:r>
      <w:r w:rsidRPr="00EF6D2C">
        <w:rPr>
          <w:rFonts w:ascii="Times New Roman" w:hAnsi="Times New Roman"/>
          <w:i/>
          <w:sz w:val="24"/>
          <w:szCs w:val="24"/>
        </w:rPr>
        <w:t>Elsya: Journal of English Language Studies, 7</w:t>
      </w:r>
      <w:r w:rsidRPr="00EF6D2C">
        <w:rPr>
          <w:rFonts w:ascii="Times New Roman" w:hAnsi="Times New Roman"/>
          <w:sz w:val="24"/>
          <w:szCs w:val="24"/>
        </w:rPr>
        <w:t>(3), 263–280.</w:t>
      </w:r>
    </w:p>
    <w:p w14:paraId="2AE8BD7D"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Pastore, S., Yan, Z., &amp; Lao, H. (2025). Teacher instructional practices and strategies for student self-assessment. </w:t>
      </w:r>
      <w:r w:rsidRPr="00EF6D2C">
        <w:rPr>
          <w:rFonts w:ascii="Times New Roman" w:hAnsi="Times New Roman"/>
          <w:i/>
          <w:sz w:val="24"/>
          <w:szCs w:val="24"/>
        </w:rPr>
        <w:t>Assessment in Education: Principles, Policy &amp; Practice, 32</w:t>
      </w:r>
      <w:r w:rsidRPr="00EF6D2C">
        <w:rPr>
          <w:rFonts w:ascii="Times New Roman" w:hAnsi="Times New Roman"/>
          <w:sz w:val="24"/>
          <w:szCs w:val="24"/>
        </w:rPr>
        <w:t>(2), 152–172.</w:t>
      </w:r>
    </w:p>
    <w:p w14:paraId="3DBA401F"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Rohmah, N., Suswati, E., Taufikurrahman, M. R., &amp; Prasetianto, T. A. (2025). Development and Evaluation of the MARVOCAB Application for Enhancing Maritime Vocabulary Acquisition.</w:t>
      </w:r>
    </w:p>
    <w:p w14:paraId="2D3ACBB1"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Saputro, I. E. (2025). Students’self-assessment of fan–n–pick implementation in English vocabulary learning activities. </w:t>
      </w:r>
      <w:r w:rsidRPr="00EF6D2C">
        <w:rPr>
          <w:rFonts w:ascii="Times New Roman" w:hAnsi="Times New Roman"/>
          <w:i/>
          <w:sz w:val="24"/>
          <w:szCs w:val="24"/>
        </w:rPr>
        <w:t>International Journal of English Learning and Applied Linguistics (IJELAL), 6</w:t>
      </w:r>
      <w:r w:rsidRPr="00EF6D2C">
        <w:rPr>
          <w:rFonts w:ascii="Times New Roman" w:hAnsi="Times New Roman"/>
          <w:sz w:val="24"/>
          <w:szCs w:val="24"/>
        </w:rPr>
        <w:t>(1), 85–96.</w:t>
      </w:r>
    </w:p>
    <w:p w14:paraId="43A50464"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Saputro, I. E., Dewi, D. S., Ria, T. N., &amp; Mahdi, M. A. (2026). Enhancing ESP Students’ Critical Thinking and Communication skills through AI-Supported Case-Based Learning. </w:t>
      </w:r>
      <w:r w:rsidRPr="00EF6D2C">
        <w:rPr>
          <w:rFonts w:ascii="Times New Roman" w:hAnsi="Times New Roman"/>
          <w:i/>
          <w:sz w:val="24"/>
          <w:szCs w:val="24"/>
        </w:rPr>
        <w:t>Jurnal Pemberdayaan Masyarakat, 5</w:t>
      </w:r>
      <w:r w:rsidRPr="00EF6D2C">
        <w:rPr>
          <w:rFonts w:ascii="Times New Roman" w:hAnsi="Times New Roman"/>
          <w:sz w:val="24"/>
          <w:szCs w:val="24"/>
        </w:rPr>
        <w:t>(1), 127–137.</w:t>
      </w:r>
    </w:p>
    <w:p w14:paraId="2CA647EC"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Saputro, I. E., Faridi, A., Saleh, M., &amp; Syafri, F. (2022, September). Pemanfaatan aplikasi synchronous dan asynchronous pada pembelajaran bahasa inggris: perspektif dan urgensi mahasiswa pada fenomena pendidikan abad 21. In </w:t>
      </w:r>
      <w:r w:rsidRPr="00EF6D2C">
        <w:rPr>
          <w:rFonts w:ascii="Times New Roman" w:hAnsi="Times New Roman"/>
          <w:i/>
          <w:sz w:val="24"/>
          <w:szCs w:val="24"/>
        </w:rPr>
        <w:t>Prosiding Seminar Nasional Pascasarjana</w:t>
      </w:r>
      <w:r w:rsidRPr="00EF6D2C">
        <w:rPr>
          <w:rFonts w:ascii="Times New Roman" w:hAnsi="Times New Roman"/>
          <w:sz w:val="24"/>
          <w:szCs w:val="24"/>
        </w:rPr>
        <w:t xml:space="preserve"> (Vol. 5, No. 1, pp. 541–545).</w:t>
      </w:r>
    </w:p>
    <w:p w14:paraId="0221E92D"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Saputro, I. E., Hartono, R., Saleh, M., &amp; Faridi, A. (2025). Promoting achievement in English Vocabulary among EFL undergraduate students using Kagan's Cooperative learning Approach. </w:t>
      </w:r>
      <w:r w:rsidRPr="00EF6D2C">
        <w:rPr>
          <w:rFonts w:ascii="Times New Roman" w:hAnsi="Times New Roman"/>
          <w:i/>
          <w:sz w:val="24"/>
          <w:szCs w:val="24"/>
        </w:rPr>
        <w:t>Educational Process: International Journal, 16</w:t>
      </w:r>
      <w:r w:rsidRPr="00EF6D2C">
        <w:rPr>
          <w:rFonts w:ascii="Times New Roman" w:hAnsi="Times New Roman"/>
          <w:sz w:val="24"/>
          <w:szCs w:val="24"/>
        </w:rPr>
        <w:t>, e2025201.</w:t>
      </w:r>
    </w:p>
    <w:p w14:paraId="69FB1EEA"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Satler, T. B., &amp; Jurkovič, V. (2024, June). Solving maritime communication challenges with Digimar: A practical approach. In Maritime Transport Conference (No. 10).</w:t>
      </w:r>
    </w:p>
    <w:p w14:paraId="61DDE05C"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Shi, J., &amp; Fan, L. (2021). Investigating teachers’ and students’ perceptions of online English learning in a maritime context in China. </w:t>
      </w:r>
      <w:r w:rsidRPr="00EF6D2C">
        <w:rPr>
          <w:rFonts w:ascii="Times New Roman" w:hAnsi="Times New Roman"/>
          <w:i/>
          <w:sz w:val="24"/>
          <w:szCs w:val="24"/>
        </w:rPr>
        <w:t>Sage Open, 11</w:t>
      </w:r>
      <w:r w:rsidRPr="00EF6D2C">
        <w:rPr>
          <w:rFonts w:ascii="Times New Roman" w:hAnsi="Times New Roman"/>
          <w:sz w:val="24"/>
          <w:szCs w:val="24"/>
        </w:rPr>
        <w:t>(3), 21582440211040800.</w:t>
      </w:r>
    </w:p>
    <w:p w14:paraId="17F502BD"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lastRenderedPageBreak/>
        <w:t xml:space="preserve">Shobeiry, M., &amp; Namaziandost, E. (2026). The impact of AI-mediated gamified flipped learning on adult English language learners’ vocabulary learning and motivation in mobile-assisted language learning contexts. </w:t>
      </w:r>
      <w:r w:rsidRPr="00EF6D2C">
        <w:rPr>
          <w:rFonts w:ascii="Times New Roman" w:hAnsi="Times New Roman"/>
          <w:i/>
          <w:sz w:val="24"/>
          <w:szCs w:val="24"/>
        </w:rPr>
        <w:t>Computer Assisted Language Learning, 1</w:t>
      </w:r>
      <w:r w:rsidRPr="00EF6D2C">
        <w:rPr>
          <w:rFonts w:ascii="Times New Roman" w:hAnsi="Times New Roman"/>
          <w:sz w:val="24"/>
          <w:szCs w:val="24"/>
        </w:rPr>
        <w:t>–25.</w:t>
      </w:r>
    </w:p>
    <w:p w14:paraId="2D76D3EB"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Simanjuntak, M. B., Rafli, Z., &amp; Utami, S. R. (2025). A Maritime English learning model for enhancing operational effectiveness. In </w:t>
      </w:r>
      <w:r w:rsidRPr="00EF6D2C">
        <w:rPr>
          <w:rFonts w:ascii="Times New Roman" w:hAnsi="Times New Roman"/>
          <w:i/>
          <w:sz w:val="24"/>
          <w:szCs w:val="24"/>
        </w:rPr>
        <w:t>BIO Web of Conferences</w:t>
      </w:r>
      <w:r w:rsidRPr="00EF6D2C">
        <w:rPr>
          <w:rFonts w:ascii="Times New Roman" w:hAnsi="Times New Roman"/>
          <w:sz w:val="24"/>
          <w:szCs w:val="24"/>
        </w:rPr>
        <w:t xml:space="preserve"> (Vol. 175, p. 06002). EDP Sciences.</w:t>
      </w:r>
    </w:p>
    <w:p w14:paraId="42ACAE3F"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Singaram, V. S. (2022). Mobile-based formative assessment and feedback in medical education–Work in progress. </w:t>
      </w:r>
      <w:r w:rsidRPr="00EF6D2C">
        <w:rPr>
          <w:rFonts w:ascii="Times New Roman" w:hAnsi="Times New Roman"/>
          <w:i/>
          <w:sz w:val="24"/>
          <w:szCs w:val="24"/>
        </w:rPr>
        <w:t>Assessment through Digital Platforms within Higher Education Studies. Pietermaritzburg: CSSALL Publishers (Pty) Ltd, 152</w:t>
      </w:r>
      <w:r w:rsidRPr="00EF6D2C">
        <w:rPr>
          <w:rFonts w:ascii="Times New Roman" w:hAnsi="Times New Roman"/>
          <w:sz w:val="24"/>
          <w:szCs w:val="24"/>
        </w:rPr>
        <w:t>–67.</w:t>
      </w:r>
    </w:p>
    <w:p w14:paraId="75A5727D" w14:textId="77777777" w:rsidR="00C835D0" w:rsidRPr="00EF6D2C" w:rsidRDefault="00C835D0" w:rsidP="00EF6D2C">
      <w:pPr>
        <w:spacing w:after="0" w:line="240" w:lineRule="auto"/>
        <w:ind w:left="720" w:hanging="720"/>
        <w:jc w:val="both"/>
        <w:rPr>
          <w:rFonts w:ascii="Times New Roman" w:hAnsi="Times New Roman" w:cs="Times New Roman"/>
          <w:color w:val="222222"/>
          <w:sz w:val="24"/>
          <w:szCs w:val="24"/>
          <w:shd w:val="clear" w:color="auto" w:fill="FFFFFF"/>
        </w:rPr>
      </w:pPr>
      <w:r w:rsidRPr="00EF6D2C">
        <w:rPr>
          <w:rFonts w:ascii="Times New Roman" w:hAnsi="Times New Roman"/>
          <w:sz w:val="24"/>
          <w:szCs w:val="24"/>
        </w:rPr>
        <w:t xml:space="preserve">Sofyan, A., Nissa, I. C., Judijanto, L., Nugraha, M. S., &amp; Santi, D. (2025). The impact of digital formative assessment on student motivation and learning Outcomes in the technological era. </w:t>
      </w:r>
      <w:r w:rsidRPr="00EF6D2C">
        <w:rPr>
          <w:rFonts w:ascii="Times New Roman" w:hAnsi="Times New Roman"/>
          <w:i/>
          <w:sz w:val="24"/>
          <w:szCs w:val="24"/>
        </w:rPr>
        <w:t>Journal of Hunan University Natural Sciences, 52</w:t>
      </w:r>
      <w:r w:rsidRPr="00EF6D2C">
        <w:rPr>
          <w:rFonts w:ascii="Times New Roman" w:hAnsi="Times New Roman"/>
          <w:sz w:val="24"/>
          <w:szCs w:val="24"/>
        </w:rPr>
        <w:t>(7).</w:t>
      </w:r>
    </w:p>
    <w:p w14:paraId="672609D0"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Vidhiasi, D. M., &amp; Syihabuddin, S. (2022). Maritime English: teaching English for maritime sciences or teaching maritime sciences in </w:t>
      </w:r>
      <w:proofErr w:type="gramStart"/>
      <w:r w:rsidRPr="00EF6D2C">
        <w:rPr>
          <w:rFonts w:ascii="Times New Roman" w:hAnsi="Times New Roman"/>
          <w:sz w:val="24"/>
          <w:szCs w:val="24"/>
        </w:rPr>
        <w:t>English?.</w:t>
      </w:r>
      <w:proofErr w:type="gramEnd"/>
      <w:r w:rsidRPr="00EF6D2C">
        <w:rPr>
          <w:rFonts w:ascii="Times New Roman" w:hAnsi="Times New Roman"/>
          <w:sz w:val="24"/>
          <w:szCs w:val="24"/>
        </w:rPr>
        <w:t xml:space="preserve"> </w:t>
      </w:r>
      <w:r w:rsidRPr="00EF6D2C">
        <w:rPr>
          <w:rFonts w:ascii="Times New Roman" w:hAnsi="Times New Roman"/>
          <w:i/>
          <w:sz w:val="24"/>
          <w:szCs w:val="24"/>
        </w:rPr>
        <w:t>Saintara: Jurnal Ilmiah Ilmu-Ilmu Maritim, 6</w:t>
      </w:r>
      <w:r w:rsidRPr="00EF6D2C">
        <w:rPr>
          <w:rFonts w:ascii="Times New Roman" w:hAnsi="Times New Roman"/>
          <w:sz w:val="24"/>
          <w:szCs w:val="24"/>
        </w:rPr>
        <w:t>(1), 71–77.</w:t>
      </w:r>
    </w:p>
    <w:p w14:paraId="395359B0"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Yan, Z., Li, Z., Panadero, E., Yang, M., Yang, L., &amp; Lao, H. (2021). A systematic review on factors influencing teachers’ intentions and implementations regarding formative assessment. </w:t>
      </w:r>
      <w:r w:rsidRPr="00EF6D2C">
        <w:rPr>
          <w:rFonts w:ascii="Times New Roman" w:hAnsi="Times New Roman"/>
          <w:i/>
          <w:sz w:val="24"/>
          <w:szCs w:val="24"/>
        </w:rPr>
        <w:t>Assessment in Education: Principles, Policy &amp; Practice, 28</w:t>
      </w:r>
      <w:r w:rsidRPr="00EF6D2C">
        <w:rPr>
          <w:rFonts w:ascii="Times New Roman" w:hAnsi="Times New Roman"/>
          <w:sz w:val="24"/>
          <w:szCs w:val="24"/>
        </w:rPr>
        <w:t>(3), 228–260.</w:t>
      </w:r>
    </w:p>
    <w:p w14:paraId="4DA488B5"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Yi, S. Y., Jung, M., &amp; Lee, S. I. (2025). Adapting to change: International maritime education and training for future seafarers–focusing on the comprehensive review of the STCW convention and code of the 10th session of the IMO HTW. </w:t>
      </w:r>
      <w:r w:rsidRPr="00EF6D2C">
        <w:rPr>
          <w:rFonts w:ascii="Times New Roman" w:hAnsi="Times New Roman"/>
          <w:i/>
          <w:sz w:val="24"/>
          <w:szCs w:val="24"/>
        </w:rPr>
        <w:t>Journal of International Maritime Safety, Environmental Affairs, and Shipping, 9</w:t>
      </w:r>
      <w:r w:rsidRPr="00EF6D2C">
        <w:rPr>
          <w:rFonts w:ascii="Times New Roman" w:hAnsi="Times New Roman"/>
          <w:sz w:val="24"/>
          <w:szCs w:val="24"/>
        </w:rPr>
        <w:t>(2), 2464486.</w:t>
      </w:r>
    </w:p>
    <w:p w14:paraId="3C1D6471"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Zalisman, Z. (2023). The Importance of Providing Positive Feedback in English Language Learning: The Importance of Providing Positive Feedback in English Language Learning. </w:t>
      </w:r>
      <w:r w:rsidRPr="00EF6D2C">
        <w:rPr>
          <w:rFonts w:ascii="Times New Roman" w:hAnsi="Times New Roman"/>
          <w:i/>
          <w:sz w:val="24"/>
          <w:szCs w:val="24"/>
        </w:rPr>
        <w:t>An-Nashru: Jurnal Bimbingan Dan Konseling Pendidikan Islam, 1</w:t>
      </w:r>
      <w:r w:rsidRPr="00EF6D2C">
        <w:rPr>
          <w:rFonts w:ascii="Times New Roman" w:hAnsi="Times New Roman"/>
          <w:sz w:val="24"/>
          <w:szCs w:val="24"/>
        </w:rPr>
        <w:t>(1), 55–70.</w:t>
      </w:r>
    </w:p>
    <w:p w14:paraId="4EA310FA"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Zhang, Z., &amp; Huang, X. (2024). The impact of chatbots based on large language models on second language vocabulary acquisition. </w:t>
      </w:r>
      <w:r w:rsidRPr="00EF6D2C">
        <w:rPr>
          <w:rFonts w:ascii="Times New Roman" w:hAnsi="Times New Roman"/>
          <w:i/>
          <w:sz w:val="24"/>
          <w:szCs w:val="24"/>
        </w:rPr>
        <w:t>Heliyon, 10</w:t>
      </w:r>
      <w:r w:rsidRPr="00EF6D2C">
        <w:rPr>
          <w:rFonts w:ascii="Times New Roman" w:hAnsi="Times New Roman"/>
          <w:sz w:val="24"/>
          <w:szCs w:val="24"/>
        </w:rPr>
        <w:t>(3).</w:t>
      </w:r>
    </w:p>
    <w:p w14:paraId="60CF1D10"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Zheng, S. (2025). Research on the application of augmented reality in English vocabulary teaching: A study on improving learning outcomes through interactive experience. </w:t>
      </w:r>
      <w:r w:rsidRPr="00EF6D2C">
        <w:rPr>
          <w:rFonts w:ascii="Times New Roman" w:hAnsi="Times New Roman"/>
          <w:i/>
          <w:sz w:val="24"/>
          <w:szCs w:val="24"/>
        </w:rPr>
        <w:t>Journal of Computational Methods in Sciences and Engineering, 25</w:t>
      </w:r>
      <w:r w:rsidRPr="00EF6D2C">
        <w:rPr>
          <w:rFonts w:ascii="Times New Roman" w:hAnsi="Times New Roman"/>
          <w:sz w:val="24"/>
          <w:szCs w:val="24"/>
        </w:rPr>
        <w:t>(5), 4551–4565.</w:t>
      </w:r>
    </w:p>
    <w:p w14:paraId="049ACB47" w14:textId="77777777" w:rsidR="00C835D0" w:rsidRPr="00EF6D2C" w:rsidRDefault="00C835D0" w:rsidP="00EF6D2C">
      <w:pPr>
        <w:spacing w:after="0" w:line="240" w:lineRule="auto"/>
        <w:ind w:left="720" w:hanging="720"/>
        <w:jc w:val="both"/>
        <w:rPr>
          <w:rFonts w:ascii="Times New Roman" w:hAnsi="Times New Roman" w:cs="Times New Roman"/>
          <w:sz w:val="24"/>
          <w:szCs w:val="24"/>
        </w:rPr>
      </w:pPr>
      <w:r w:rsidRPr="00EF6D2C">
        <w:rPr>
          <w:rFonts w:ascii="Times New Roman" w:hAnsi="Times New Roman"/>
          <w:sz w:val="24"/>
          <w:szCs w:val="24"/>
        </w:rPr>
        <w:t xml:space="preserve">Zou, D., Huang, Y., &amp; Xie, H. (2021). Digital game-based vocabulary learning: where are we and where are we </w:t>
      </w:r>
      <w:proofErr w:type="gramStart"/>
      <w:r w:rsidRPr="00EF6D2C">
        <w:rPr>
          <w:rFonts w:ascii="Times New Roman" w:hAnsi="Times New Roman"/>
          <w:sz w:val="24"/>
          <w:szCs w:val="24"/>
        </w:rPr>
        <w:t>going?.</w:t>
      </w:r>
      <w:proofErr w:type="gramEnd"/>
      <w:r w:rsidRPr="00EF6D2C">
        <w:rPr>
          <w:rFonts w:ascii="Times New Roman" w:hAnsi="Times New Roman"/>
          <w:sz w:val="24"/>
          <w:szCs w:val="24"/>
        </w:rPr>
        <w:t xml:space="preserve"> </w:t>
      </w:r>
      <w:r w:rsidRPr="00EF6D2C">
        <w:rPr>
          <w:rFonts w:ascii="Times New Roman" w:hAnsi="Times New Roman"/>
          <w:i/>
          <w:sz w:val="24"/>
          <w:szCs w:val="24"/>
        </w:rPr>
        <w:t>Computer Assisted Language Learning, 34</w:t>
      </w:r>
      <w:r w:rsidRPr="00EF6D2C">
        <w:rPr>
          <w:rFonts w:ascii="Times New Roman" w:hAnsi="Times New Roman"/>
          <w:sz w:val="24"/>
          <w:szCs w:val="24"/>
        </w:rPr>
        <w:t>(5–6), 751–777.</w:t>
      </w:r>
    </w:p>
    <w:sectPr w:rsidR="00C835D0" w:rsidRPr="00EF6D2C" w:rsidSect="004C3471">
      <w:headerReference w:type="default" r:id="rId17"/>
      <w:footerReference w:type="even" r:id="rId18"/>
      <w:footerReference w:type="default" r:id="rId19"/>
      <w:pgSz w:w="11906" w:h="16838"/>
      <w:pgMar w:top="2268" w:right="1701" w:bottom="1701" w:left="2268" w:header="708" w:footer="708" w:gutter="0"/>
      <w:pgNumType w:start="6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48662" w14:textId="77777777" w:rsidR="0047745C" w:rsidRDefault="0047745C" w:rsidP="00C835D0">
      <w:pPr>
        <w:spacing w:after="0" w:line="240" w:lineRule="auto"/>
      </w:pPr>
      <w:r>
        <w:separator/>
      </w:r>
    </w:p>
  </w:endnote>
  <w:endnote w:type="continuationSeparator" w:id="0">
    <w:p w14:paraId="799C0E9A" w14:textId="77777777" w:rsidR="0047745C" w:rsidRDefault="0047745C" w:rsidP="00C8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Pr>
      <w:id w:val="-1649656629"/>
      <w:docPartObj>
        <w:docPartGallery w:val="Page Numbers (Bottom of Page)"/>
        <w:docPartUnique/>
      </w:docPartObj>
    </w:sdtPr>
    <w:sdtContent>
      <w:p w14:paraId="1489A0D9" w14:textId="4C9A19A5" w:rsidR="004C3471" w:rsidRDefault="004C3471" w:rsidP="00573CDD">
        <w:pPr>
          <w:pStyle w:val="Footer"/>
          <w:framePr w:wrap="none" w:vAnchor="text" w:hAnchor="margin" w:xAlign="center"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rPr>
          <w:fldChar w:fldCharType="end"/>
        </w:r>
      </w:p>
    </w:sdtContent>
  </w:sdt>
  <w:p w14:paraId="03716139" w14:textId="77777777" w:rsidR="004C3471" w:rsidRDefault="004C34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Fonts w:ascii="Times New Roman" w:hAnsi="Times New Roman" w:cs="Times New Roman"/>
        <w:sz w:val="24"/>
        <w:szCs w:val="24"/>
      </w:rPr>
      <w:id w:val="-2138716916"/>
      <w:docPartObj>
        <w:docPartGallery w:val="Page Numbers (Bottom of Page)"/>
        <w:docPartUnique/>
      </w:docPartObj>
    </w:sdtPr>
    <w:sdtContent>
      <w:p w14:paraId="48DBEF62" w14:textId="623EE3F8" w:rsidR="004C3471" w:rsidRPr="004C3471" w:rsidRDefault="004C3471" w:rsidP="00573CDD">
        <w:pPr>
          <w:pStyle w:val="Footer"/>
          <w:framePr w:wrap="none" w:vAnchor="text" w:hAnchor="margin" w:xAlign="center" w:y="1"/>
          <w:rPr>
            <w:rStyle w:val="NomorHalaman"/>
            <w:rFonts w:ascii="Times New Roman" w:hAnsi="Times New Roman" w:cs="Times New Roman"/>
            <w:sz w:val="24"/>
            <w:szCs w:val="24"/>
          </w:rPr>
        </w:pPr>
        <w:r w:rsidRPr="004C3471">
          <w:rPr>
            <w:rStyle w:val="NomorHalaman"/>
            <w:rFonts w:ascii="Times New Roman" w:hAnsi="Times New Roman" w:cs="Times New Roman"/>
            <w:sz w:val="24"/>
            <w:szCs w:val="24"/>
          </w:rPr>
          <w:fldChar w:fldCharType="begin"/>
        </w:r>
        <w:r w:rsidRPr="004C3471">
          <w:rPr>
            <w:rStyle w:val="NomorHalaman"/>
            <w:rFonts w:ascii="Times New Roman" w:hAnsi="Times New Roman" w:cs="Times New Roman"/>
            <w:sz w:val="24"/>
            <w:szCs w:val="24"/>
          </w:rPr>
          <w:instrText xml:space="preserve"> PAGE </w:instrText>
        </w:r>
        <w:r w:rsidRPr="004C3471">
          <w:rPr>
            <w:rStyle w:val="NomorHalaman"/>
            <w:rFonts w:ascii="Times New Roman" w:hAnsi="Times New Roman" w:cs="Times New Roman"/>
            <w:sz w:val="24"/>
            <w:szCs w:val="24"/>
          </w:rPr>
          <w:fldChar w:fldCharType="separate"/>
        </w:r>
        <w:r w:rsidRPr="004C3471">
          <w:rPr>
            <w:rStyle w:val="NomorHalaman"/>
            <w:rFonts w:ascii="Times New Roman" w:hAnsi="Times New Roman" w:cs="Times New Roman"/>
            <w:noProof/>
            <w:sz w:val="24"/>
            <w:szCs w:val="24"/>
          </w:rPr>
          <w:t>604</w:t>
        </w:r>
        <w:r w:rsidRPr="004C3471">
          <w:rPr>
            <w:rStyle w:val="NomorHalaman"/>
            <w:rFonts w:ascii="Times New Roman" w:hAnsi="Times New Roman" w:cs="Times New Roman"/>
            <w:sz w:val="24"/>
            <w:szCs w:val="24"/>
          </w:rPr>
          <w:fldChar w:fldCharType="end"/>
        </w:r>
      </w:p>
    </w:sdtContent>
  </w:sdt>
  <w:p w14:paraId="606DCE13" w14:textId="77777777" w:rsidR="004C3471" w:rsidRPr="004C3471" w:rsidRDefault="004C3471">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C9C82E" w14:textId="77777777" w:rsidR="0047745C" w:rsidRDefault="0047745C" w:rsidP="00C835D0">
      <w:pPr>
        <w:spacing w:after="0" w:line="240" w:lineRule="auto"/>
      </w:pPr>
      <w:r>
        <w:separator/>
      </w:r>
    </w:p>
  </w:footnote>
  <w:footnote w:type="continuationSeparator" w:id="0">
    <w:p w14:paraId="26B4BF9A" w14:textId="77777777" w:rsidR="0047745C" w:rsidRDefault="0047745C" w:rsidP="00C83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DAC1C" w14:textId="1E99B2D4" w:rsidR="00C835D0" w:rsidRPr="004C3471" w:rsidRDefault="004C3471" w:rsidP="004C3471">
    <w:pPr>
      <w:tabs>
        <w:tab w:val="center" w:pos="4680"/>
        <w:tab w:val="right" w:pos="9360"/>
      </w:tabs>
      <w:spacing w:after="200" w:line="392" w:lineRule="auto"/>
      <w:jc w:val="right"/>
      <w:rPr>
        <w:rFonts w:eastAsiaTheme="minorEastAsia"/>
      </w:rPr>
    </w:pPr>
    <w:r>
      <w:rPr>
        <w:rFonts w:ascii="Times New Roman" w:eastAsia="Times New Roman" w:hAnsi="Times New Roman" w:cs="Times New Roman"/>
        <w:sz w:val="24"/>
      </w:rPr>
      <w:t xml:space="preserve">INTERACTION: </w:t>
    </w:r>
    <w:proofErr w:type="spellStart"/>
    <w:r>
      <w:rPr>
        <w:rFonts w:ascii="Times New Roman" w:eastAsia="Times New Roman" w:hAnsi="Times New Roman" w:cs="Times New Roman"/>
        <w:sz w:val="24"/>
      </w:rPr>
      <w:t>Jurnal</w:t>
    </w:r>
    <w:proofErr w:type="spellEnd"/>
    <w:r>
      <w:rPr>
        <w:rFonts w:ascii="Times New Roman" w:eastAsia="Times New Roman" w:hAnsi="Times New Roman" w:cs="Times New Roman"/>
        <w:sz w:val="24"/>
      </w:rPr>
      <w:t xml:space="preserve"> Pendidikan Bahasa Vol. 13, No. 3; September 2026</w:t>
    </w:r>
    <w:r>
      <w:rPr>
        <w:rFonts w:ascii="Times New Roman" w:eastAsia="Times New Roman" w:hAnsi="Times New Roman" w:cs="Times New Roman"/>
        <w:sz w:val="24"/>
      </w:rPr>
      <w:br/>
      <w:t>P-ISSN: 2406-9558; E-ISSN: 2406-9566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932D7B"/>
    <w:multiLevelType w:val="hybridMultilevel"/>
    <w:tmpl w:val="F8300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846C65"/>
    <w:multiLevelType w:val="hybridMultilevel"/>
    <w:tmpl w:val="4DF072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C48FB"/>
    <w:multiLevelType w:val="hybridMultilevel"/>
    <w:tmpl w:val="0922D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2554719">
    <w:abstractNumId w:val="0"/>
  </w:num>
  <w:num w:numId="2" w16cid:durableId="2000693705">
    <w:abstractNumId w:val="1"/>
  </w:num>
  <w:num w:numId="3" w16cid:durableId="158330034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14E"/>
    <w:rsid w:val="00014F23"/>
    <w:rsid w:val="000407AF"/>
    <w:rsid w:val="001F531C"/>
    <w:rsid w:val="001F66B3"/>
    <w:rsid w:val="00206E0A"/>
    <w:rsid w:val="002118B3"/>
    <w:rsid w:val="00244D9E"/>
    <w:rsid w:val="002862F3"/>
    <w:rsid w:val="002B0CB9"/>
    <w:rsid w:val="002B2213"/>
    <w:rsid w:val="002B78DC"/>
    <w:rsid w:val="002C4585"/>
    <w:rsid w:val="002D2546"/>
    <w:rsid w:val="00301949"/>
    <w:rsid w:val="00311CD5"/>
    <w:rsid w:val="00344340"/>
    <w:rsid w:val="00366C67"/>
    <w:rsid w:val="00407B5B"/>
    <w:rsid w:val="00433CDD"/>
    <w:rsid w:val="00444C3C"/>
    <w:rsid w:val="0047745C"/>
    <w:rsid w:val="00482195"/>
    <w:rsid w:val="004C3471"/>
    <w:rsid w:val="004C3CB6"/>
    <w:rsid w:val="004E507C"/>
    <w:rsid w:val="00557538"/>
    <w:rsid w:val="0057214E"/>
    <w:rsid w:val="005B758B"/>
    <w:rsid w:val="005D22A0"/>
    <w:rsid w:val="006238CC"/>
    <w:rsid w:val="00694CE5"/>
    <w:rsid w:val="006E43A2"/>
    <w:rsid w:val="006F12C3"/>
    <w:rsid w:val="007110A2"/>
    <w:rsid w:val="007643CD"/>
    <w:rsid w:val="007737F2"/>
    <w:rsid w:val="00831288"/>
    <w:rsid w:val="00881566"/>
    <w:rsid w:val="008B237F"/>
    <w:rsid w:val="008F5BA2"/>
    <w:rsid w:val="00925085"/>
    <w:rsid w:val="00946E10"/>
    <w:rsid w:val="0096747B"/>
    <w:rsid w:val="0097448D"/>
    <w:rsid w:val="00A01105"/>
    <w:rsid w:val="00A86101"/>
    <w:rsid w:val="00AF2231"/>
    <w:rsid w:val="00B151F1"/>
    <w:rsid w:val="00B613A8"/>
    <w:rsid w:val="00B93D81"/>
    <w:rsid w:val="00BA3522"/>
    <w:rsid w:val="00BA5022"/>
    <w:rsid w:val="00BC7115"/>
    <w:rsid w:val="00C150E7"/>
    <w:rsid w:val="00C835D0"/>
    <w:rsid w:val="00D247A6"/>
    <w:rsid w:val="00D634A0"/>
    <w:rsid w:val="00E03D03"/>
    <w:rsid w:val="00E368EC"/>
    <w:rsid w:val="00E8730B"/>
    <w:rsid w:val="00EC0D26"/>
    <w:rsid w:val="00EF6D2C"/>
    <w:rsid w:val="00F1227C"/>
    <w:rsid w:val="00F13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F0C3"/>
  <w15:chartTrackingRefBased/>
  <w15:docId w15:val="{482E0CC2-1A32-4D84-BCFE-338EC481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uiPriority w:val="39"/>
    <w:rsid w:val="00572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311CD5"/>
    <w:pPr>
      <w:ind w:left="720"/>
      <w:contextualSpacing/>
    </w:pPr>
  </w:style>
  <w:style w:type="table" w:styleId="TabelBiasa2">
    <w:name w:val="Plain Table 2"/>
    <w:basedOn w:val="TabelNormal"/>
    <w:uiPriority w:val="42"/>
    <w:rsid w:val="008B237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FontParagrafDefault"/>
    <w:uiPriority w:val="99"/>
    <w:unhideWhenUsed/>
    <w:rsid w:val="00557538"/>
    <w:rPr>
      <w:color w:val="000000"/>
      <w:u w:val="none"/>
    </w:rPr>
  </w:style>
  <w:style w:type="paragraph" w:styleId="Header">
    <w:name w:val="header"/>
    <w:basedOn w:val="Normal"/>
    <w:link w:val="HeaderKAR"/>
    <w:uiPriority w:val="99"/>
    <w:unhideWhenUsed/>
    <w:rsid w:val="00C835D0"/>
    <w:pPr>
      <w:tabs>
        <w:tab w:val="center" w:pos="4680"/>
        <w:tab w:val="right" w:pos="9360"/>
      </w:tabs>
      <w:spacing w:after="0" w:line="240" w:lineRule="auto"/>
    </w:pPr>
  </w:style>
  <w:style w:type="character" w:customStyle="1" w:styleId="HeaderKAR">
    <w:name w:val="Header KAR"/>
    <w:basedOn w:val="FontParagrafDefault"/>
    <w:link w:val="Header"/>
    <w:uiPriority w:val="99"/>
    <w:rsid w:val="00C835D0"/>
  </w:style>
  <w:style w:type="paragraph" w:styleId="Footer">
    <w:name w:val="footer"/>
    <w:basedOn w:val="Normal"/>
    <w:link w:val="FooterKAR"/>
    <w:uiPriority w:val="99"/>
    <w:unhideWhenUsed/>
    <w:rsid w:val="00C835D0"/>
    <w:pPr>
      <w:tabs>
        <w:tab w:val="center" w:pos="4680"/>
        <w:tab w:val="right" w:pos="9360"/>
      </w:tabs>
      <w:spacing w:after="0" w:line="240" w:lineRule="auto"/>
    </w:pPr>
  </w:style>
  <w:style w:type="character" w:customStyle="1" w:styleId="FooterKAR">
    <w:name w:val="Footer KAR"/>
    <w:basedOn w:val="FontParagrafDefault"/>
    <w:link w:val="Footer"/>
    <w:uiPriority w:val="99"/>
    <w:rsid w:val="00C835D0"/>
  </w:style>
  <w:style w:type="character" w:styleId="HiperlinkyangDiikuti">
    <w:name w:val="FollowedHyperlink"/>
    <w:basedOn w:val="FontParagrafDefault"/>
    <w:uiPriority w:val="99"/>
    <w:semiHidden/>
    <w:unhideWhenUsed/>
    <w:rsid w:val="00EF6D2C"/>
    <w:rPr>
      <w:color w:val="954F72" w:themeColor="followedHyperlink"/>
      <w:u w:val="single"/>
    </w:rPr>
  </w:style>
  <w:style w:type="character" w:styleId="SebutanYangBelumTerselesaikan">
    <w:name w:val="Unresolved Mention"/>
    <w:basedOn w:val="FontParagrafDefault"/>
    <w:uiPriority w:val="99"/>
    <w:semiHidden/>
    <w:unhideWhenUsed/>
    <w:rsid w:val="00EF6D2C"/>
    <w:rPr>
      <w:color w:val="605E5C"/>
      <w:shd w:val="clear" w:color="auto" w:fill="E1DFDD"/>
    </w:rPr>
  </w:style>
  <w:style w:type="character" w:styleId="NomorHalaman">
    <w:name w:val="page number"/>
    <w:basedOn w:val="FontParagrafDefault"/>
    <w:uiPriority w:val="99"/>
    <w:semiHidden/>
    <w:unhideWhenUsed/>
    <w:rsid w:val="004C3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531600">
      <w:bodyDiv w:val="1"/>
      <w:marLeft w:val="0"/>
      <w:marRight w:val="0"/>
      <w:marTop w:val="0"/>
      <w:marBottom w:val="0"/>
      <w:divBdr>
        <w:top w:val="none" w:sz="0" w:space="0" w:color="auto"/>
        <w:left w:val="none" w:sz="0" w:space="0" w:color="auto"/>
        <w:bottom w:val="none" w:sz="0" w:space="0" w:color="auto"/>
        <w:right w:val="none" w:sz="0" w:space="0" w:color="auto"/>
      </w:divBdr>
    </w:div>
    <w:div w:id="312804944">
      <w:bodyDiv w:val="1"/>
      <w:marLeft w:val="0"/>
      <w:marRight w:val="0"/>
      <w:marTop w:val="0"/>
      <w:marBottom w:val="0"/>
      <w:divBdr>
        <w:top w:val="none" w:sz="0" w:space="0" w:color="auto"/>
        <w:left w:val="none" w:sz="0" w:space="0" w:color="auto"/>
        <w:bottom w:val="none" w:sz="0" w:space="0" w:color="auto"/>
        <w:right w:val="none" w:sz="0" w:space="0" w:color="auto"/>
      </w:divBdr>
    </w:div>
    <w:div w:id="316956134">
      <w:bodyDiv w:val="1"/>
      <w:marLeft w:val="0"/>
      <w:marRight w:val="0"/>
      <w:marTop w:val="0"/>
      <w:marBottom w:val="0"/>
      <w:divBdr>
        <w:top w:val="none" w:sz="0" w:space="0" w:color="auto"/>
        <w:left w:val="none" w:sz="0" w:space="0" w:color="auto"/>
        <w:bottom w:val="none" w:sz="0" w:space="0" w:color="auto"/>
        <w:right w:val="none" w:sz="0" w:space="0" w:color="auto"/>
      </w:divBdr>
    </w:div>
    <w:div w:id="396436620">
      <w:bodyDiv w:val="1"/>
      <w:marLeft w:val="0"/>
      <w:marRight w:val="0"/>
      <w:marTop w:val="0"/>
      <w:marBottom w:val="0"/>
      <w:divBdr>
        <w:top w:val="none" w:sz="0" w:space="0" w:color="auto"/>
        <w:left w:val="none" w:sz="0" w:space="0" w:color="auto"/>
        <w:bottom w:val="none" w:sz="0" w:space="0" w:color="auto"/>
        <w:right w:val="none" w:sz="0" w:space="0" w:color="auto"/>
      </w:divBdr>
    </w:div>
    <w:div w:id="442922576">
      <w:bodyDiv w:val="1"/>
      <w:marLeft w:val="0"/>
      <w:marRight w:val="0"/>
      <w:marTop w:val="0"/>
      <w:marBottom w:val="0"/>
      <w:divBdr>
        <w:top w:val="none" w:sz="0" w:space="0" w:color="auto"/>
        <w:left w:val="none" w:sz="0" w:space="0" w:color="auto"/>
        <w:bottom w:val="none" w:sz="0" w:space="0" w:color="auto"/>
        <w:right w:val="none" w:sz="0" w:space="0" w:color="auto"/>
      </w:divBdr>
    </w:div>
    <w:div w:id="613905035">
      <w:bodyDiv w:val="1"/>
      <w:marLeft w:val="0"/>
      <w:marRight w:val="0"/>
      <w:marTop w:val="0"/>
      <w:marBottom w:val="0"/>
      <w:divBdr>
        <w:top w:val="none" w:sz="0" w:space="0" w:color="auto"/>
        <w:left w:val="none" w:sz="0" w:space="0" w:color="auto"/>
        <w:bottom w:val="none" w:sz="0" w:space="0" w:color="auto"/>
        <w:right w:val="none" w:sz="0" w:space="0" w:color="auto"/>
      </w:divBdr>
    </w:div>
    <w:div w:id="674235367">
      <w:bodyDiv w:val="1"/>
      <w:marLeft w:val="0"/>
      <w:marRight w:val="0"/>
      <w:marTop w:val="0"/>
      <w:marBottom w:val="0"/>
      <w:divBdr>
        <w:top w:val="none" w:sz="0" w:space="0" w:color="auto"/>
        <w:left w:val="none" w:sz="0" w:space="0" w:color="auto"/>
        <w:bottom w:val="none" w:sz="0" w:space="0" w:color="auto"/>
        <w:right w:val="none" w:sz="0" w:space="0" w:color="auto"/>
      </w:divBdr>
    </w:div>
    <w:div w:id="724913346">
      <w:bodyDiv w:val="1"/>
      <w:marLeft w:val="0"/>
      <w:marRight w:val="0"/>
      <w:marTop w:val="0"/>
      <w:marBottom w:val="0"/>
      <w:divBdr>
        <w:top w:val="none" w:sz="0" w:space="0" w:color="auto"/>
        <w:left w:val="none" w:sz="0" w:space="0" w:color="auto"/>
        <w:bottom w:val="none" w:sz="0" w:space="0" w:color="auto"/>
        <w:right w:val="none" w:sz="0" w:space="0" w:color="auto"/>
      </w:divBdr>
    </w:div>
    <w:div w:id="854999523">
      <w:bodyDiv w:val="1"/>
      <w:marLeft w:val="0"/>
      <w:marRight w:val="0"/>
      <w:marTop w:val="0"/>
      <w:marBottom w:val="0"/>
      <w:divBdr>
        <w:top w:val="none" w:sz="0" w:space="0" w:color="auto"/>
        <w:left w:val="none" w:sz="0" w:space="0" w:color="auto"/>
        <w:bottom w:val="none" w:sz="0" w:space="0" w:color="auto"/>
        <w:right w:val="none" w:sz="0" w:space="0" w:color="auto"/>
      </w:divBdr>
    </w:div>
    <w:div w:id="902715485">
      <w:bodyDiv w:val="1"/>
      <w:marLeft w:val="0"/>
      <w:marRight w:val="0"/>
      <w:marTop w:val="0"/>
      <w:marBottom w:val="0"/>
      <w:divBdr>
        <w:top w:val="none" w:sz="0" w:space="0" w:color="auto"/>
        <w:left w:val="none" w:sz="0" w:space="0" w:color="auto"/>
        <w:bottom w:val="none" w:sz="0" w:space="0" w:color="auto"/>
        <w:right w:val="none" w:sz="0" w:space="0" w:color="auto"/>
      </w:divBdr>
    </w:div>
    <w:div w:id="1011032735">
      <w:bodyDiv w:val="1"/>
      <w:marLeft w:val="0"/>
      <w:marRight w:val="0"/>
      <w:marTop w:val="0"/>
      <w:marBottom w:val="0"/>
      <w:divBdr>
        <w:top w:val="none" w:sz="0" w:space="0" w:color="auto"/>
        <w:left w:val="none" w:sz="0" w:space="0" w:color="auto"/>
        <w:bottom w:val="none" w:sz="0" w:space="0" w:color="auto"/>
        <w:right w:val="none" w:sz="0" w:space="0" w:color="auto"/>
      </w:divBdr>
    </w:div>
    <w:div w:id="1080248208">
      <w:bodyDiv w:val="1"/>
      <w:marLeft w:val="0"/>
      <w:marRight w:val="0"/>
      <w:marTop w:val="0"/>
      <w:marBottom w:val="0"/>
      <w:divBdr>
        <w:top w:val="none" w:sz="0" w:space="0" w:color="auto"/>
        <w:left w:val="none" w:sz="0" w:space="0" w:color="auto"/>
        <w:bottom w:val="none" w:sz="0" w:space="0" w:color="auto"/>
        <w:right w:val="none" w:sz="0" w:space="0" w:color="auto"/>
      </w:divBdr>
      <w:divsChild>
        <w:div w:id="274948518">
          <w:blockQuote w:val="1"/>
          <w:marLeft w:val="720"/>
          <w:marRight w:val="720"/>
          <w:marTop w:val="100"/>
          <w:marBottom w:val="100"/>
          <w:divBdr>
            <w:top w:val="none" w:sz="0" w:space="0" w:color="auto"/>
            <w:left w:val="none" w:sz="0" w:space="0" w:color="auto"/>
            <w:bottom w:val="none" w:sz="0" w:space="0" w:color="auto"/>
            <w:right w:val="none" w:sz="0" w:space="0" w:color="auto"/>
          </w:divBdr>
        </w:div>
        <w:div w:id="888420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8657820">
      <w:bodyDiv w:val="1"/>
      <w:marLeft w:val="0"/>
      <w:marRight w:val="0"/>
      <w:marTop w:val="0"/>
      <w:marBottom w:val="0"/>
      <w:divBdr>
        <w:top w:val="none" w:sz="0" w:space="0" w:color="auto"/>
        <w:left w:val="none" w:sz="0" w:space="0" w:color="auto"/>
        <w:bottom w:val="none" w:sz="0" w:space="0" w:color="auto"/>
        <w:right w:val="none" w:sz="0" w:space="0" w:color="auto"/>
      </w:divBdr>
      <w:divsChild>
        <w:div w:id="2088728183">
          <w:marLeft w:val="0"/>
          <w:marRight w:val="0"/>
          <w:marTop w:val="0"/>
          <w:marBottom w:val="0"/>
          <w:divBdr>
            <w:top w:val="none" w:sz="0" w:space="0" w:color="auto"/>
            <w:left w:val="none" w:sz="0" w:space="0" w:color="auto"/>
            <w:bottom w:val="none" w:sz="0" w:space="0" w:color="auto"/>
            <w:right w:val="none" w:sz="0" w:space="0" w:color="auto"/>
          </w:divBdr>
          <w:divsChild>
            <w:div w:id="1475676164">
              <w:marLeft w:val="0"/>
              <w:marRight w:val="0"/>
              <w:marTop w:val="0"/>
              <w:marBottom w:val="0"/>
              <w:divBdr>
                <w:top w:val="none" w:sz="0" w:space="0" w:color="auto"/>
                <w:left w:val="none" w:sz="0" w:space="0" w:color="auto"/>
                <w:bottom w:val="none" w:sz="0" w:space="0" w:color="auto"/>
                <w:right w:val="none" w:sz="0" w:space="0" w:color="auto"/>
              </w:divBdr>
              <w:divsChild>
                <w:div w:id="270866613">
                  <w:marLeft w:val="0"/>
                  <w:marRight w:val="0"/>
                  <w:marTop w:val="0"/>
                  <w:marBottom w:val="0"/>
                  <w:divBdr>
                    <w:top w:val="none" w:sz="0" w:space="0" w:color="auto"/>
                    <w:left w:val="none" w:sz="0" w:space="0" w:color="auto"/>
                    <w:bottom w:val="none" w:sz="0" w:space="0" w:color="auto"/>
                    <w:right w:val="none" w:sz="0" w:space="0" w:color="auto"/>
                  </w:divBdr>
                  <w:divsChild>
                    <w:div w:id="849949850">
                      <w:marLeft w:val="0"/>
                      <w:marRight w:val="0"/>
                      <w:marTop w:val="0"/>
                      <w:marBottom w:val="0"/>
                      <w:divBdr>
                        <w:top w:val="none" w:sz="0" w:space="0" w:color="auto"/>
                        <w:left w:val="none" w:sz="0" w:space="0" w:color="auto"/>
                        <w:bottom w:val="none" w:sz="0" w:space="0" w:color="auto"/>
                        <w:right w:val="none" w:sz="0" w:space="0" w:color="auto"/>
                      </w:divBdr>
                      <w:divsChild>
                        <w:div w:id="338504702">
                          <w:marLeft w:val="0"/>
                          <w:marRight w:val="0"/>
                          <w:marTop w:val="0"/>
                          <w:marBottom w:val="0"/>
                          <w:divBdr>
                            <w:top w:val="none" w:sz="0" w:space="0" w:color="auto"/>
                            <w:left w:val="none" w:sz="0" w:space="0" w:color="auto"/>
                            <w:bottom w:val="none" w:sz="0" w:space="0" w:color="auto"/>
                            <w:right w:val="none" w:sz="0" w:space="0" w:color="auto"/>
                          </w:divBdr>
                          <w:divsChild>
                            <w:div w:id="849952716">
                              <w:marLeft w:val="0"/>
                              <w:marRight w:val="0"/>
                              <w:marTop w:val="0"/>
                              <w:marBottom w:val="0"/>
                              <w:divBdr>
                                <w:top w:val="none" w:sz="0" w:space="0" w:color="auto"/>
                                <w:left w:val="none" w:sz="0" w:space="0" w:color="auto"/>
                                <w:bottom w:val="none" w:sz="0" w:space="0" w:color="auto"/>
                                <w:right w:val="none" w:sz="0" w:space="0" w:color="auto"/>
                              </w:divBdr>
                              <w:divsChild>
                                <w:div w:id="658114862">
                                  <w:marLeft w:val="0"/>
                                  <w:marRight w:val="0"/>
                                  <w:marTop w:val="0"/>
                                  <w:marBottom w:val="0"/>
                                  <w:divBdr>
                                    <w:top w:val="none" w:sz="0" w:space="0" w:color="auto"/>
                                    <w:left w:val="none" w:sz="0" w:space="0" w:color="auto"/>
                                    <w:bottom w:val="none" w:sz="0" w:space="0" w:color="auto"/>
                                    <w:right w:val="none" w:sz="0" w:space="0" w:color="auto"/>
                                  </w:divBdr>
                                  <w:divsChild>
                                    <w:div w:id="193732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951908">
      <w:bodyDiv w:val="1"/>
      <w:marLeft w:val="0"/>
      <w:marRight w:val="0"/>
      <w:marTop w:val="0"/>
      <w:marBottom w:val="0"/>
      <w:divBdr>
        <w:top w:val="none" w:sz="0" w:space="0" w:color="auto"/>
        <w:left w:val="none" w:sz="0" w:space="0" w:color="auto"/>
        <w:bottom w:val="none" w:sz="0" w:space="0" w:color="auto"/>
        <w:right w:val="none" w:sz="0" w:space="0" w:color="auto"/>
      </w:divBdr>
    </w:div>
    <w:div w:id="1341854940">
      <w:bodyDiv w:val="1"/>
      <w:marLeft w:val="0"/>
      <w:marRight w:val="0"/>
      <w:marTop w:val="0"/>
      <w:marBottom w:val="0"/>
      <w:divBdr>
        <w:top w:val="none" w:sz="0" w:space="0" w:color="auto"/>
        <w:left w:val="none" w:sz="0" w:space="0" w:color="auto"/>
        <w:bottom w:val="none" w:sz="0" w:space="0" w:color="auto"/>
        <w:right w:val="none" w:sz="0" w:space="0" w:color="auto"/>
      </w:divBdr>
    </w:div>
    <w:div w:id="1452363164">
      <w:bodyDiv w:val="1"/>
      <w:marLeft w:val="0"/>
      <w:marRight w:val="0"/>
      <w:marTop w:val="0"/>
      <w:marBottom w:val="0"/>
      <w:divBdr>
        <w:top w:val="none" w:sz="0" w:space="0" w:color="auto"/>
        <w:left w:val="none" w:sz="0" w:space="0" w:color="auto"/>
        <w:bottom w:val="none" w:sz="0" w:space="0" w:color="auto"/>
        <w:right w:val="none" w:sz="0" w:space="0" w:color="auto"/>
      </w:divBdr>
    </w:div>
    <w:div w:id="1630555123">
      <w:bodyDiv w:val="1"/>
      <w:marLeft w:val="0"/>
      <w:marRight w:val="0"/>
      <w:marTop w:val="0"/>
      <w:marBottom w:val="0"/>
      <w:divBdr>
        <w:top w:val="none" w:sz="0" w:space="0" w:color="auto"/>
        <w:left w:val="none" w:sz="0" w:space="0" w:color="auto"/>
        <w:bottom w:val="none" w:sz="0" w:space="0" w:color="auto"/>
        <w:right w:val="none" w:sz="0" w:space="0" w:color="auto"/>
      </w:divBdr>
    </w:div>
    <w:div w:id="1826125257">
      <w:bodyDiv w:val="1"/>
      <w:marLeft w:val="0"/>
      <w:marRight w:val="0"/>
      <w:marTop w:val="0"/>
      <w:marBottom w:val="0"/>
      <w:divBdr>
        <w:top w:val="none" w:sz="0" w:space="0" w:color="auto"/>
        <w:left w:val="none" w:sz="0" w:space="0" w:color="auto"/>
        <w:bottom w:val="none" w:sz="0" w:space="0" w:color="auto"/>
        <w:right w:val="none" w:sz="0" w:space="0" w:color="auto"/>
      </w:divBdr>
      <w:divsChild>
        <w:div w:id="723793893">
          <w:marLeft w:val="0"/>
          <w:marRight w:val="0"/>
          <w:marTop w:val="0"/>
          <w:marBottom w:val="0"/>
          <w:divBdr>
            <w:top w:val="none" w:sz="0" w:space="0" w:color="auto"/>
            <w:left w:val="none" w:sz="0" w:space="0" w:color="auto"/>
            <w:bottom w:val="none" w:sz="0" w:space="0" w:color="auto"/>
            <w:right w:val="none" w:sz="0" w:space="0" w:color="auto"/>
          </w:divBdr>
          <w:divsChild>
            <w:div w:id="1697076384">
              <w:marLeft w:val="0"/>
              <w:marRight w:val="0"/>
              <w:marTop w:val="0"/>
              <w:marBottom w:val="0"/>
              <w:divBdr>
                <w:top w:val="none" w:sz="0" w:space="0" w:color="auto"/>
                <w:left w:val="none" w:sz="0" w:space="0" w:color="auto"/>
                <w:bottom w:val="none" w:sz="0" w:space="0" w:color="auto"/>
                <w:right w:val="none" w:sz="0" w:space="0" w:color="auto"/>
              </w:divBdr>
              <w:divsChild>
                <w:div w:id="1735350538">
                  <w:marLeft w:val="0"/>
                  <w:marRight w:val="0"/>
                  <w:marTop w:val="0"/>
                  <w:marBottom w:val="0"/>
                  <w:divBdr>
                    <w:top w:val="none" w:sz="0" w:space="0" w:color="auto"/>
                    <w:left w:val="none" w:sz="0" w:space="0" w:color="auto"/>
                    <w:bottom w:val="none" w:sz="0" w:space="0" w:color="auto"/>
                    <w:right w:val="none" w:sz="0" w:space="0" w:color="auto"/>
                  </w:divBdr>
                  <w:divsChild>
                    <w:div w:id="1522821564">
                      <w:marLeft w:val="0"/>
                      <w:marRight w:val="0"/>
                      <w:marTop w:val="0"/>
                      <w:marBottom w:val="0"/>
                      <w:divBdr>
                        <w:top w:val="none" w:sz="0" w:space="0" w:color="auto"/>
                        <w:left w:val="none" w:sz="0" w:space="0" w:color="auto"/>
                        <w:bottom w:val="none" w:sz="0" w:space="0" w:color="auto"/>
                        <w:right w:val="none" w:sz="0" w:space="0" w:color="auto"/>
                      </w:divBdr>
                      <w:divsChild>
                        <w:div w:id="715666568">
                          <w:marLeft w:val="0"/>
                          <w:marRight w:val="0"/>
                          <w:marTop w:val="0"/>
                          <w:marBottom w:val="0"/>
                          <w:divBdr>
                            <w:top w:val="none" w:sz="0" w:space="0" w:color="auto"/>
                            <w:left w:val="none" w:sz="0" w:space="0" w:color="auto"/>
                            <w:bottom w:val="none" w:sz="0" w:space="0" w:color="auto"/>
                            <w:right w:val="none" w:sz="0" w:space="0" w:color="auto"/>
                          </w:divBdr>
                          <w:divsChild>
                            <w:div w:id="753015764">
                              <w:marLeft w:val="0"/>
                              <w:marRight w:val="0"/>
                              <w:marTop w:val="0"/>
                              <w:marBottom w:val="0"/>
                              <w:divBdr>
                                <w:top w:val="none" w:sz="0" w:space="0" w:color="auto"/>
                                <w:left w:val="none" w:sz="0" w:space="0" w:color="auto"/>
                                <w:bottom w:val="none" w:sz="0" w:space="0" w:color="auto"/>
                                <w:right w:val="none" w:sz="0" w:space="0" w:color="auto"/>
                              </w:divBdr>
                              <w:divsChild>
                                <w:div w:id="638078205">
                                  <w:marLeft w:val="0"/>
                                  <w:marRight w:val="0"/>
                                  <w:marTop w:val="0"/>
                                  <w:marBottom w:val="0"/>
                                  <w:divBdr>
                                    <w:top w:val="none" w:sz="0" w:space="0" w:color="auto"/>
                                    <w:left w:val="none" w:sz="0" w:space="0" w:color="auto"/>
                                    <w:bottom w:val="none" w:sz="0" w:space="0" w:color="auto"/>
                                    <w:right w:val="none" w:sz="0" w:space="0" w:color="auto"/>
                                  </w:divBdr>
                                  <w:divsChild>
                                    <w:div w:id="581648206">
                                      <w:marLeft w:val="0"/>
                                      <w:marRight w:val="0"/>
                                      <w:marTop w:val="0"/>
                                      <w:marBottom w:val="0"/>
                                      <w:divBdr>
                                        <w:top w:val="none" w:sz="0" w:space="0" w:color="auto"/>
                                        <w:left w:val="none" w:sz="0" w:space="0" w:color="auto"/>
                                        <w:bottom w:val="none" w:sz="0" w:space="0" w:color="auto"/>
                                        <w:right w:val="none" w:sz="0" w:space="0" w:color="auto"/>
                                      </w:divBdr>
                                      <w:divsChild>
                                        <w:div w:id="2008708084">
                                          <w:marLeft w:val="0"/>
                                          <w:marRight w:val="0"/>
                                          <w:marTop w:val="0"/>
                                          <w:marBottom w:val="0"/>
                                          <w:divBdr>
                                            <w:top w:val="none" w:sz="0" w:space="0" w:color="auto"/>
                                            <w:left w:val="none" w:sz="0" w:space="0" w:color="auto"/>
                                            <w:bottom w:val="none" w:sz="0" w:space="0" w:color="auto"/>
                                            <w:right w:val="none" w:sz="0" w:space="0" w:color="auto"/>
                                          </w:divBdr>
                                          <w:divsChild>
                                            <w:div w:id="1666516408">
                                              <w:marLeft w:val="0"/>
                                              <w:marRight w:val="0"/>
                                              <w:marTop w:val="0"/>
                                              <w:marBottom w:val="0"/>
                                              <w:divBdr>
                                                <w:top w:val="none" w:sz="0" w:space="0" w:color="auto"/>
                                                <w:left w:val="none" w:sz="0" w:space="0" w:color="auto"/>
                                                <w:bottom w:val="none" w:sz="0" w:space="0" w:color="auto"/>
                                                <w:right w:val="none" w:sz="0" w:space="0" w:color="auto"/>
                                              </w:divBdr>
                                            </w:div>
                                          </w:divsChild>
                                        </w:div>
                                        <w:div w:id="1514875140">
                                          <w:marLeft w:val="0"/>
                                          <w:marRight w:val="0"/>
                                          <w:marTop w:val="0"/>
                                          <w:marBottom w:val="0"/>
                                          <w:divBdr>
                                            <w:top w:val="none" w:sz="0" w:space="0" w:color="auto"/>
                                            <w:left w:val="none" w:sz="0" w:space="0" w:color="auto"/>
                                            <w:bottom w:val="none" w:sz="0" w:space="0" w:color="auto"/>
                                            <w:right w:val="none" w:sz="0" w:space="0" w:color="auto"/>
                                          </w:divBdr>
                                          <w:divsChild>
                                            <w:div w:id="71500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983835">
      <w:bodyDiv w:val="1"/>
      <w:marLeft w:val="0"/>
      <w:marRight w:val="0"/>
      <w:marTop w:val="0"/>
      <w:marBottom w:val="0"/>
      <w:divBdr>
        <w:top w:val="none" w:sz="0" w:space="0" w:color="auto"/>
        <w:left w:val="none" w:sz="0" w:space="0" w:color="auto"/>
        <w:bottom w:val="none" w:sz="0" w:space="0" w:color="auto"/>
        <w:right w:val="none" w:sz="0" w:space="0" w:color="auto"/>
      </w:divBdr>
    </w:div>
    <w:div w:id="214534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eader" Target="header1.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1_1#3">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3742F5-38E0-4D77-BA5E-0AEA56739874}" type="doc">
      <dgm:prSet loTypeId="urn:microsoft.com/office/officeart/2005/8/layout/cycle3" loCatId="cycle" qsTypeId="urn:microsoft.com/office/officeart/2005/8/quickstyle/simple1#5" qsCatId="simple" csTypeId="urn:microsoft.com/office/officeart/2005/8/colors/accent1_1#3" csCatId="accent1" phldr="1"/>
      <dgm:spPr/>
      <dgm:t>
        <a:bodyPr/>
        <a:lstStyle/>
        <a:p>
          <a:endParaRPr lang="en-US"/>
        </a:p>
      </dgm:t>
    </dgm:pt>
    <dgm:pt modelId="{68B32113-87DF-4FBC-9DEF-1FEF38F924D5}">
      <dgm:prSet phldrT="[Text]" custT="1"/>
      <dgm:spPr/>
      <dgm:t>
        <a:bodyPr/>
        <a:lstStyle/>
        <a:p>
          <a:r>
            <a:rPr lang="en-US" sz="1100">
              <a:latin typeface="Times New Roman" panose="02020603050405020304" pitchFamily="18" charset="0"/>
              <a:cs typeface="Times New Roman" panose="02020603050405020304" pitchFamily="18" charset="0"/>
            </a:rPr>
            <a:t>Vocabulary exposure</a:t>
          </a:r>
        </a:p>
      </dgm:t>
    </dgm:pt>
    <dgm:pt modelId="{F927AB5E-BD01-43EB-85D0-F9EE5782D115}" type="parTrans" cxnId="{23197BA1-79D1-4545-9955-4B4AEC8CFAE9}">
      <dgm:prSet/>
      <dgm:spPr/>
      <dgm:t>
        <a:bodyPr/>
        <a:lstStyle/>
        <a:p>
          <a:endParaRPr lang="en-US" sz="1100">
            <a:latin typeface="Times New Roman" panose="02020603050405020304" pitchFamily="18" charset="0"/>
            <a:cs typeface="Times New Roman" panose="02020603050405020304" pitchFamily="18" charset="0"/>
          </a:endParaRPr>
        </a:p>
      </dgm:t>
    </dgm:pt>
    <dgm:pt modelId="{18E328BB-4F85-493C-8422-B890541CC9B1}" type="sibTrans" cxnId="{23197BA1-79D1-4545-9955-4B4AEC8CFAE9}">
      <dgm:prSet/>
      <dgm:spPr/>
      <dgm:t>
        <a:bodyPr/>
        <a:lstStyle/>
        <a:p>
          <a:endParaRPr lang="en-US" sz="1100">
            <a:latin typeface="Times New Roman" panose="02020603050405020304" pitchFamily="18" charset="0"/>
            <a:cs typeface="Times New Roman" panose="02020603050405020304" pitchFamily="18" charset="0"/>
          </a:endParaRPr>
        </a:p>
      </dgm:t>
    </dgm:pt>
    <dgm:pt modelId="{2904BAC9-EDC6-45CD-8A24-F3F6E6C34E5A}">
      <dgm:prSet phldrT="[Text]" custT="1"/>
      <dgm:spPr/>
      <dgm:t>
        <a:bodyPr/>
        <a:lstStyle/>
        <a:p>
          <a:r>
            <a:rPr lang="en-US" sz="1100">
              <a:latin typeface="Times New Roman" panose="02020603050405020304" pitchFamily="18" charset="0"/>
              <a:cs typeface="Times New Roman" panose="02020603050405020304" pitchFamily="18" charset="0"/>
            </a:rPr>
            <a:t>retrieval attempt</a:t>
          </a:r>
        </a:p>
      </dgm:t>
    </dgm:pt>
    <dgm:pt modelId="{6F1F7551-2784-4F05-898E-90BA148A80F9}" type="parTrans" cxnId="{A72CA391-7845-411B-A6E6-6B93EC4EF151}">
      <dgm:prSet/>
      <dgm:spPr/>
      <dgm:t>
        <a:bodyPr/>
        <a:lstStyle/>
        <a:p>
          <a:endParaRPr lang="en-US" sz="1100">
            <a:latin typeface="Times New Roman" panose="02020603050405020304" pitchFamily="18" charset="0"/>
            <a:cs typeface="Times New Roman" panose="02020603050405020304" pitchFamily="18" charset="0"/>
          </a:endParaRPr>
        </a:p>
      </dgm:t>
    </dgm:pt>
    <dgm:pt modelId="{EB75304D-4922-41A4-A3D5-FAF6106C45F3}" type="sibTrans" cxnId="{A72CA391-7845-411B-A6E6-6B93EC4EF151}">
      <dgm:prSet/>
      <dgm:spPr/>
      <dgm:t>
        <a:bodyPr/>
        <a:lstStyle/>
        <a:p>
          <a:endParaRPr lang="en-US" sz="1100">
            <a:latin typeface="Times New Roman" panose="02020603050405020304" pitchFamily="18" charset="0"/>
            <a:cs typeface="Times New Roman" panose="02020603050405020304" pitchFamily="18" charset="0"/>
          </a:endParaRPr>
        </a:p>
      </dgm:t>
    </dgm:pt>
    <dgm:pt modelId="{57848DB4-56EC-4703-8463-7D58FB3BE388}">
      <dgm:prSet phldrT="[Text]" custT="1"/>
      <dgm:spPr/>
      <dgm:t>
        <a:bodyPr/>
        <a:lstStyle/>
        <a:p>
          <a:r>
            <a:rPr lang="en-US" sz="1100">
              <a:latin typeface="Times New Roman" panose="02020603050405020304" pitchFamily="18" charset="0"/>
              <a:cs typeface="Times New Roman" panose="02020603050405020304" pitchFamily="18" charset="0"/>
            </a:rPr>
            <a:t>feedback</a:t>
          </a:r>
        </a:p>
      </dgm:t>
    </dgm:pt>
    <dgm:pt modelId="{DA117214-0C7F-45EC-B619-621E0FE3130F}" type="parTrans" cxnId="{FE41F955-CEF8-4DEB-AD8A-E23C441D4D74}">
      <dgm:prSet/>
      <dgm:spPr/>
      <dgm:t>
        <a:bodyPr/>
        <a:lstStyle/>
        <a:p>
          <a:endParaRPr lang="en-US" sz="1100">
            <a:latin typeface="Times New Roman" panose="02020603050405020304" pitchFamily="18" charset="0"/>
            <a:cs typeface="Times New Roman" panose="02020603050405020304" pitchFamily="18" charset="0"/>
          </a:endParaRPr>
        </a:p>
      </dgm:t>
    </dgm:pt>
    <dgm:pt modelId="{ED6AEC2C-CB2A-4A1C-9A57-CC93D8D7D321}" type="sibTrans" cxnId="{FE41F955-CEF8-4DEB-AD8A-E23C441D4D74}">
      <dgm:prSet/>
      <dgm:spPr/>
      <dgm:t>
        <a:bodyPr/>
        <a:lstStyle/>
        <a:p>
          <a:endParaRPr lang="en-US" sz="1100">
            <a:latin typeface="Times New Roman" panose="02020603050405020304" pitchFamily="18" charset="0"/>
            <a:cs typeface="Times New Roman" panose="02020603050405020304" pitchFamily="18" charset="0"/>
          </a:endParaRPr>
        </a:p>
      </dgm:t>
    </dgm:pt>
    <dgm:pt modelId="{B138CB9F-7E66-4434-975B-D599B33F3FE2}">
      <dgm:prSet phldrT="[Text]" custT="1"/>
      <dgm:spPr/>
      <dgm:t>
        <a:bodyPr/>
        <a:lstStyle/>
        <a:p>
          <a:r>
            <a:rPr lang="en-US" sz="1100">
              <a:latin typeface="Times New Roman" panose="02020603050405020304" pitchFamily="18" charset="0"/>
              <a:cs typeface="Times New Roman" panose="02020603050405020304" pitchFamily="18" charset="0"/>
            </a:rPr>
            <a:t>correction</a:t>
          </a:r>
        </a:p>
      </dgm:t>
    </dgm:pt>
    <dgm:pt modelId="{01006C8F-A9B9-4934-82B2-CAC70A3EC6EC}" type="parTrans" cxnId="{A161037F-F4F7-44E2-8D76-91564FE054CB}">
      <dgm:prSet/>
      <dgm:spPr/>
      <dgm:t>
        <a:bodyPr/>
        <a:lstStyle/>
        <a:p>
          <a:endParaRPr lang="en-US" sz="1100">
            <a:latin typeface="Times New Roman" panose="02020603050405020304" pitchFamily="18" charset="0"/>
            <a:cs typeface="Times New Roman" panose="02020603050405020304" pitchFamily="18" charset="0"/>
          </a:endParaRPr>
        </a:p>
      </dgm:t>
    </dgm:pt>
    <dgm:pt modelId="{26EC6862-08E6-47B8-848C-06F61EE81AB9}" type="sibTrans" cxnId="{A161037F-F4F7-44E2-8D76-91564FE054CB}">
      <dgm:prSet/>
      <dgm:spPr/>
      <dgm:t>
        <a:bodyPr/>
        <a:lstStyle/>
        <a:p>
          <a:endParaRPr lang="en-US" sz="1100">
            <a:latin typeface="Times New Roman" panose="02020603050405020304" pitchFamily="18" charset="0"/>
            <a:cs typeface="Times New Roman" panose="02020603050405020304" pitchFamily="18" charset="0"/>
          </a:endParaRPr>
        </a:p>
      </dgm:t>
    </dgm:pt>
    <dgm:pt modelId="{B1F1DAC9-1B2A-469F-8651-E7860D704871}">
      <dgm:prSet phldrT="[Text]" custT="1"/>
      <dgm:spPr/>
      <dgm:t>
        <a:bodyPr/>
        <a:lstStyle/>
        <a:p>
          <a:r>
            <a:rPr lang="en-US" sz="1100">
              <a:latin typeface="Times New Roman" panose="02020603050405020304" pitchFamily="18" charset="0"/>
              <a:cs typeface="Times New Roman" panose="02020603050405020304" pitchFamily="18" charset="0"/>
            </a:rPr>
            <a:t>repeated practice</a:t>
          </a:r>
        </a:p>
      </dgm:t>
    </dgm:pt>
    <dgm:pt modelId="{77478B06-8DD7-4366-AFA8-43266AF06863}" type="parTrans" cxnId="{679F001F-D6E1-4AC0-99B4-D5807DECF614}">
      <dgm:prSet/>
      <dgm:spPr/>
      <dgm:t>
        <a:bodyPr/>
        <a:lstStyle/>
        <a:p>
          <a:endParaRPr lang="en-US" sz="1100">
            <a:latin typeface="Times New Roman" panose="02020603050405020304" pitchFamily="18" charset="0"/>
            <a:cs typeface="Times New Roman" panose="02020603050405020304" pitchFamily="18" charset="0"/>
          </a:endParaRPr>
        </a:p>
      </dgm:t>
    </dgm:pt>
    <dgm:pt modelId="{4C2D85F5-2D07-4CC1-97CB-F896DE9900A0}" type="sibTrans" cxnId="{679F001F-D6E1-4AC0-99B4-D5807DECF614}">
      <dgm:prSet/>
      <dgm:spPr/>
      <dgm:t>
        <a:bodyPr/>
        <a:lstStyle/>
        <a:p>
          <a:endParaRPr lang="en-US" sz="1100">
            <a:latin typeface="Times New Roman" panose="02020603050405020304" pitchFamily="18" charset="0"/>
            <a:cs typeface="Times New Roman" panose="02020603050405020304" pitchFamily="18" charset="0"/>
          </a:endParaRPr>
        </a:p>
      </dgm:t>
    </dgm:pt>
    <dgm:pt modelId="{7A8E2A5F-EC32-42C6-BA4A-A5DCF935B47E}">
      <dgm:prSet phldrT="[Text]" custT="1"/>
      <dgm:spPr/>
      <dgm:t>
        <a:bodyPr/>
        <a:lstStyle/>
        <a:p>
          <a:r>
            <a:rPr lang="en-US" sz="1100">
              <a:latin typeface="Times New Roman" panose="02020603050405020304" pitchFamily="18" charset="0"/>
              <a:cs typeface="Times New Roman" panose="02020603050405020304" pitchFamily="18" charset="0"/>
            </a:rPr>
            <a:t>reinforcement</a:t>
          </a:r>
        </a:p>
      </dgm:t>
    </dgm:pt>
    <dgm:pt modelId="{B9D65F4C-EAEE-4049-98CE-D0D9B4AF4F4B}" type="parTrans" cxnId="{414B7DAA-935E-405C-84E0-8E00E2800905}">
      <dgm:prSet/>
      <dgm:spPr/>
      <dgm:t>
        <a:bodyPr/>
        <a:lstStyle/>
        <a:p>
          <a:endParaRPr lang="en-US" sz="1100">
            <a:latin typeface="Times New Roman" panose="02020603050405020304" pitchFamily="18" charset="0"/>
            <a:cs typeface="Times New Roman" panose="02020603050405020304" pitchFamily="18" charset="0"/>
          </a:endParaRPr>
        </a:p>
      </dgm:t>
    </dgm:pt>
    <dgm:pt modelId="{A1989402-F4A6-4FA9-B369-21A8A527DF74}" type="sibTrans" cxnId="{414B7DAA-935E-405C-84E0-8E00E2800905}">
      <dgm:prSet/>
      <dgm:spPr/>
      <dgm:t>
        <a:bodyPr/>
        <a:lstStyle/>
        <a:p>
          <a:endParaRPr lang="en-US" sz="1100">
            <a:latin typeface="Times New Roman" panose="02020603050405020304" pitchFamily="18" charset="0"/>
            <a:cs typeface="Times New Roman" panose="02020603050405020304" pitchFamily="18" charset="0"/>
          </a:endParaRPr>
        </a:p>
      </dgm:t>
    </dgm:pt>
    <dgm:pt modelId="{E0384B70-66B4-4236-9F77-DAC47AD4C3FC}" type="pres">
      <dgm:prSet presAssocID="{3D3742F5-38E0-4D77-BA5E-0AEA56739874}" presName="Name0" presStyleCnt="0">
        <dgm:presLayoutVars>
          <dgm:dir/>
          <dgm:resizeHandles val="exact"/>
        </dgm:presLayoutVars>
      </dgm:prSet>
      <dgm:spPr/>
    </dgm:pt>
    <dgm:pt modelId="{57942C39-BB8F-488F-9843-792A13670D56}" type="pres">
      <dgm:prSet presAssocID="{3D3742F5-38E0-4D77-BA5E-0AEA56739874}" presName="cycle" presStyleCnt="0"/>
      <dgm:spPr/>
    </dgm:pt>
    <dgm:pt modelId="{1D5BD923-6286-4922-B3C2-048082BE9C55}" type="pres">
      <dgm:prSet presAssocID="{68B32113-87DF-4FBC-9DEF-1FEF38F924D5}" presName="nodeFirstNode" presStyleLbl="node1" presStyleIdx="0" presStyleCnt="6">
        <dgm:presLayoutVars>
          <dgm:bulletEnabled val="1"/>
        </dgm:presLayoutVars>
      </dgm:prSet>
      <dgm:spPr/>
    </dgm:pt>
    <dgm:pt modelId="{1E5DC42D-8CDD-4C37-9D0B-E7EC4E7395F6}" type="pres">
      <dgm:prSet presAssocID="{18E328BB-4F85-493C-8422-B890541CC9B1}" presName="sibTransFirstNode" presStyleLbl="bgShp" presStyleIdx="0" presStyleCnt="1"/>
      <dgm:spPr/>
    </dgm:pt>
    <dgm:pt modelId="{DBB969BD-FF66-45EC-8532-583C26C03F28}" type="pres">
      <dgm:prSet presAssocID="{2904BAC9-EDC6-45CD-8A24-F3F6E6C34E5A}" presName="nodeFollowingNodes" presStyleLbl="node1" presStyleIdx="1" presStyleCnt="6">
        <dgm:presLayoutVars>
          <dgm:bulletEnabled val="1"/>
        </dgm:presLayoutVars>
      </dgm:prSet>
      <dgm:spPr/>
    </dgm:pt>
    <dgm:pt modelId="{6CB066FB-3D3A-4551-A613-2A0E8F516D91}" type="pres">
      <dgm:prSet presAssocID="{57848DB4-56EC-4703-8463-7D58FB3BE388}" presName="nodeFollowingNodes" presStyleLbl="node1" presStyleIdx="2" presStyleCnt="6">
        <dgm:presLayoutVars>
          <dgm:bulletEnabled val="1"/>
        </dgm:presLayoutVars>
      </dgm:prSet>
      <dgm:spPr/>
    </dgm:pt>
    <dgm:pt modelId="{857FA26E-C1BA-452A-9462-0C01BE96C312}" type="pres">
      <dgm:prSet presAssocID="{B138CB9F-7E66-4434-975B-D599B33F3FE2}" presName="nodeFollowingNodes" presStyleLbl="node1" presStyleIdx="3" presStyleCnt="6">
        <dgm:presLayoutVars>
          <dgm:bulletEnabled val="1"/>
        </dgm:presLayoutVars>
      </dgm:prSet>
      <dgm:spPr/>
    </dgm:pt>
    <dgm:pt modelId="{C6D8A6A6-C8C0-4847-B30A-01EB088C41E9}" type="pres">
      <dgm:prSet presAssocID="{B1F1DAC9-1B2A-469F-8651-E7860D704871}" presName="nodeFollowingNodes" presStyleLbl="node1" presStyleIdx="4" presStyleCnt="6">
        <dgm:presLayoutVars>
          <dgm:bulletEnabled val="1"/>
        </dgm:presLayoutVars>
      </dgm:prSet>
      <dgm:spPr/>
    </dgm:pt>
    <dgm:pt modelId="{1BC0633A-7DC1-4F3E-83B3-33BF5BE656C6}" type="pres">
      <dgm:prSet presAssocID="{7A8E2A5F-EC32-42C6-BA4A-A5DCF935B47E}" presName="nodeFollowingNodes" presStyleLbl="node1" presStyleIdx="5" presStyleCnt="6">
        <dgm:presLayoutVars>
          <dgm:bulletEnabled val="1"/>
        </dgm:presLayoutVars>
      </dgm:prSet>
      <dgm:spPr/>
    </dgm:pt>
  </dgm:ptLst>
  <dgm:cxnLst>
    <dgm:cxn modelId="{512E4310-C84F-47C7-87F2-9EC6736AF929}" type="presOf" srcId="{3D3742F5-38E0-4D77-BA5E-0AEA56739874}" destId="{E0384B70-66B4-4236-9F77-DAC47AD4C3FC}" srcOrd="0" destOrd="0" presId="urn:microsoft.com/office/officeart/2005/8/layout/cycle3"/>
    <dgm:cxn modelId="{679F001F-D6E1-4AC0-99B4-D5807DECF614}" srcId="{3D3742F5-38E0-4D77-BA5E-0AEA56739874}" destId="{B1F1DAC9-1B2A-469F-8651-E7860D704871}" srcOrd="4" destOrd="0" parTransId="{77478B06-8DD7-4366-AFA8-43266AF06863}" sibTransId="{4C2D85F5-2D07-4CC1-97CB-F896DE9900A0}"/>
    <dgm:cxn modelId="{39C6C52A-9B59-4173-BDED-7B60A3FBE6F6}" type="presOf" srcId="{57848DB4-56EC-4703-8463-7D58FB3BE388}" destId="{6CB066FB-3D3A-4551-A613-2A0E8F516D91}" srcOrd="0" destOrd="0" presId="urn:microsoft.com/office/officeart/2005/8/layout/cycle3"/>
    <dgm:cxn modelId="{FE41F955-CEF8-4DEB-AD8A-E23C441D4D74}" srcId="{3D3742F5-38E0-4D77-BA5E-0AEA56739874}" destId="{57848DB4-56EC-4703-8463-7D58FB3BE388}" srcOrd="2" destOrd="0" parTransId="{DA117214-0C7F-45EC-B619-621E0FE3130F}" sibTransId="{ED6AEC2C-CB2A-4A1C-9A57-CC93D8D7D321}"/>
    <dgm:cxn modelId="{40FCA85C-5BDF-40AA-BB7C-E308A979D8D6}" type="presOf" srcId="{B1F1DAC9-1B2A-469F-8651-E7860D704871}" destId="{C6D8A6A6-C8C0-4847-B30A-01EB088C41E9}" srcOrd="0" destOrd="0" presId="urn:microsoft.com/office/officeart/2005/8/layout/cycle3"/>
    <dgm:cxn modelId="{A161037F-F4F7-44E2-8D76-91564FE054CB}" srcId="{3D3742F5-38E0-4D77-BA5E-0AEA56739874}" destId="{B138CB9F-7E66-4434-975B-D599B33F3FE2}" srcOrd="3" destOrd="0" parTransId="{01006C8F-A9B9-4934-82B2-CAC70A3EC6EC}" sibTransId="{26EC6862-08E6-47B8-848C-06F61EE81AB9}"/>
    <dgm:cxn modelId="{A72CA391-7845-411B-A6E6-6B93EC4EF151}" srcId="{3D3742F5-38E0-4D77-BA5E-0AEA56739874}" destId="{2904BAC9-EDC6-45CD-8A24-F3F6E6C34E5A}" srcOrd="1" destOrd="0" parTransId="{6F1F7551-2784-4F05-898E-90BA148A80F9}" sibTransId="{EB75304D-4922-41A4-A3D5-FAF6106C45F3}"/>
    <dgm:cxn modelId="{23197BA1-79D1-4545-9955-4B4AEC8CFAE9}" srcId="{3D3742F5-38E0-4D77-BA5E-0AEA56739874}" destId="{68B32113-87DF-4FBC-9DEF-1FEF38F924D5}" srcOrd="0" destOrd="0" parTransId="{F927AB5E-BD01-43EB-85D0-F9EE5782D115}" sibTransId="{18E328BB-4F85-493C-8422-B890541CC9B1}"/>
    <dgm:cxn modelId="{0993B8A6-A234-48A0-BBF9-C4A7437DB808}" type="presOf" srcId="{2904BAC9-EDC6-45CD-8A24-F3F6E6C34E5A}" destId="{DBB969BD-FF66-45EC-8532-583C26C03F28}" srcOrd="0" destOrd="0" presId="urn:microsoft.com/office/officeart/2005/8/layout/cycle3"/>
    <dgm:cxn modelId="{414B7DAA-935E-405C-84E0-8E00E2800905}" srcId="{3D3742F5-38E0-4D77-BA5E-0AEA56739874}" destId="{7A8E2A5F-EC32-42C6-BA4A-A5DCF935B47E}" srcOrd="5" destOrd="0" parTransId="{B9D65F4C-EAEE-4049-98CE-D0D9B4AF4F4B}" sibTransId="{A1989402-F4A6-4FA9-B369-21A8A527DF74}"/>
    <dgm:cxn modelId="{F4CD61AE-2312-4CB1-8C0E-E764DAA4EB0E}" type="presOf" srcId="{18E328BB-4F85-493C-8422-B890541CC9B1}" destId="{1E5DC42D-8CDD-4C37-9D0B-E7EC4E7395F6}" srcOrd="0" destOrd="0" presId="urn:microsoft.com/office/officeart/2005/8/layout/cycle3"/>
    <dgm:cxn modelId="{4A896ADF-99C9-4DD4-96F6-52A2D9EEB2AA}" type="presOf" srcId="{68B32113-87DF-4FBC-9DEF-1FEF38F924D5}" destId="{1D5BD923-6286-4922-B3C2-048082BE9C55}" srcOrd="0" destOrd="0" presId="urn:microsoft.com/office/officeart/2005/8/layout/cycle3"/>
    <dgm:cxn modelId="{D245A0DF-8470-4EF1-8D4F-427E31C69E09}" type="presOf" srcId="{B138CB9F-7E66-4434-975B-D599B33F3FE2}" destId="{857FA26E-C1BA-452A-9462-0C01BE96C312}" srcOrd="0" destOrd="0" presId="urn:microsoft.com/office/officeart/2005/8/layout/cycle3"/>
    <dgm:cxn modelId="{EB6FEBE5-B31B-4455-B312-E283678A15E1}" type="presOf" srcId="{7A8E2A5F-EC32-42C6-BA4A-A5DCF935B47E}" destId="{1BC0633A-7DC1-4F3E-83B3-33BF5BE656C6}" srcOrd="0" destOrd="0" presId="urn:microsoft.com/office/officeart/2005/8/layout/cycle3"/>
    <dgm:cxn modelId="{8B82BC8B-9559-47DE-AC42-A59C6D0A67E1}" type="presParOf" srcId="{E0384B70-66B4-4236-9F77-DAC47AD4C3FC}" destId="{57942C39-BB8F-488F-9843-792A13670D56}" srcOrd="0" destOrd="0" presId="urn:microsoft.com/office/officeart/2005/8/layout/cycle3"/>
    <dgm:cxn modelId="{C2F89289-7587-42F4-B62D-C39754CBB15A}" type="presParOf" srcId="{57942C39-BB8F-488F-9843-792A13670D56}" destId="{1D5BD923-6286-4922-B3C2-048082BE9C55}" srcOrd="0" destOrd="0" presId="urn:microsoft.com/office/officeart/2005/8/layout/cycle3"/>
    <dgm:cxn modelId="{4F2C9A99-41F5-4B71-9E36-838A427B3A4C}" type="presParOf" srcId="{57942C39-BB8F-488F-9843-792A13670D56}" destId="{1E5DC42D-8CDD-4C37-9D0B-E7EC4E7395F6}" srcOrd="1" destOrd="0" presId="urn:microsoft.com/office/officeart/2005/8/layout/cycle3"/>
    <dgm:cxn modelId="{A93ADD6D-D8CA-476F-A1B0-4CA759B71E79}" type="presParOf" srcId="{57942C39-BB8F-488F-9843-792A13670D56}" destId="{DBB969BD-FF66-45EC-8532-583C26C03F28}" srcOrd="2" destOrd="0" presId="urn:microsoft.com/office/officeart/2005/8/layout/cycle3"/>
    <dgm:cxn modelId="{62E91737-FED6-421F-90C2-08F6A61FED8E}" type="presParOf" srcId="{57942C39-BB8F-488F-9843-792A13670D56}" destId="{6CB066FB-3D3A-4551-A613-2A0E8F516D91}" srcOrd="3" destOrd="0" presId="urn:microsoft.com/office/officeart/2005/8/layout/cycle3"/>
    <dgm:cxn modelId="{B6A04767-4AB1-4B04-994E-C7FA4597F2E1}" type="presParOf" srcId="{57942C39-BB8F-488F-9843-792A13670D56}" destId="{857FA26E-C1BA-452A-9462-0C01BE96C312}" srcOrd="4" destOrd="0" presId="urn:microsoft.com/office/officeart/2005/8/layout/cycle3"/>
    <dgm:cxn modelId="{DA60E2BC-4E5E-468F-99AD-859A53EA13C4}" type="presParOf" srcId="{57942C39-BB8F-488F-9843-792A13670D56}" destId="{C6D8A6A6-C8C0-4847-B30A-01EB088C41E9}" srcOrd="5" destOrd="0" presId="urn:microsoft.com/office/officeart/2005/8/layout/cycle3"/>
    <dgm:cxn modelId="{A916B262-460D-43D4-8F6A-01597C40CBE7}" type="presParOf" srcId="{57942C39-BB8F-488F-9843-792A13670D56}" destId="{1BC0633A-7DC1-4F3E-83B3-33BF5BE656C6}" srcOrd="6" destOrd="0" presId="urn:microsoft.com/office/officeart/2005/8/layout/cycle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C4F1E4-D3E5-4239-AAC8-9EA52D299FCB}" type="doc">
      <dgm:prSet loTypeId="urn:microsoft.com/office/officeart/2005/8/layout/chevron1" loCatId="process" qsTypeId="urn:microsoft.com/office/officeart/2005/8/quickstyle/simple1#6" qsCatId="simple" csTypeId="urn:microsoft.com/office/officeart/2005/8/colors/accent1_2#3" csCatId="accent1" phldr="1"/>
      <dgm:spPr/>
      <dgm:t>
        <a:bodyPr/>
        <a:lstStyle/>
        <a:p>
          <a:endParaRPr lang="en-US"/>
        </a:p>
      </dgm:t>
    </dgm:pt>
    <dgm:pt modelId="{C9BFD312-F26D-486F-BD15-432EA7C1CA0E}">
      <dgm:prSet phldrT="[Text]"/>
      <dgm:spPr/>
      <dgm:t>
        <a:bodyPr/>
        <a:lstStyle/>
        <a:p>
          <a:r>
            <a:rPr lang="en-US"/>
            <a:t>O</a:t>
          </a:r>
          <a:r>
            <a:rPr lang="en-US" baseline="-25000"/>
            <a:t>2</a:t>
          </a:r>
        </a:p>
      </dgm:t>
    </dgm:pt>
    <dgm:pt modelId="{C6ED5C58-DC5D-4926-B68F-73F43A1FE7FA}" type="sibTrans" cxnId="{D5299B6B-FFFB-4B9E-808C-BE1C3EC7CE1A}">
      <dgm:prSet/>
      <dgm:spPr/>
      <dgm:t>
        <a:bodyPr/>
        <a:lstStyle/>
        <a:p>
          <a:endParaRPr lang="en-US"/>
        </a:p>
      </dgm:t>
    </dgm:pt>
    <dgm:pt modelId="{613C5E5A-8767-496A-A7AE-1C5FBC0A41C2}" type="parTrans" cxnId="{D5299B6B-FFFB-4B9E-808C-BE1C3EC7CE1A}">
      <dgm:prSet/>
      <dgm:spPr/>
      <dgm:t>
        <a:bodyPr/>
        <a:lstStyle/>
        <a:p>
          <a:endParaRPr lang="en-US"/>
        </a:p>
      </dgm:t>
    </dgm:pt>
    <dgm:pt modelId="{AE866B66-E2A2-4631-A3C9-7CEC8632F182}">
      <dgm:prSet phldrT="[Text]"/>
      <dgm:spPr/>
      <dgm:t>
        <a:bodyPr/>
        <a:lstStyle/>
        <a:p>
          <a:r>
            <a:rPr lang="en-US"/>
            <a:t>O</a:t>
          </a:r>
          <a:r>
            <a:rPr lang="en-US" baseline="-25000"/>
            <a:t>1</a:t>
          </a:r>
        </a:p>
      </dgm:t>
    </dgm:pt>
    <dgm:pt modelId="{836BAF56-E704-453F-BCF7-D9EAF6AA378F}" type="sibTrans" cxnId="{18127034-38BF-4639-985C-45ED37D21FE1}">
      <dgm:prSet/>
      <dgm:spPr/>
      <dgm:t>
        <a:bodyPr/>
        <a:lstStyle/>
        <a:p>
          <a:endParaRPr lang="en-US"/>
        </a:p>
      </dgm:t>
    </dgm:pt>
    <dgm:pt modelId="{717D828D-FB69-45E5-9DC5-35F03FF110B8}" type="parTrans" cxnId="{18127034-38BF-4639-985C-45ED37D21FE1}">
      <dgm:prSet/>
      <dgm:spPr/>
      <dgm:t>
        <a:bodyPr/>
        <a:lstStyle/>
        <a:p>
          <a:endParaRPr lang="en-US"/>
        </a:p>
      </dgm:t>
    </dgm:pt>
    <dgm:pt modelId="{D5AE64F6-F729-4714-8ABF-85C07AE797F2}">
      <dgm:prSet phldrT="[Text]"/>
      <dgm:spPr/>
      <dgm:t>
        <a:bodyPr/>
        <a:lstStyle/>
        <a:p>
          <a:r>
            <a:rPr lang="en-US"/>
            <a:t>x</a:t>
          </a:r>
        </a:p>
      </dgm:t>
    </dgm:pt>
    <dgm:pt modelId="{9FDAE98C-6BAC-4E4A-B976-3C96253C0475}" type="sibTrans" cxnId="{48F131BC-CABF-4B4A-92E0-92CB2935F13F}">
      <dgm:prSet/>
      <dgm:spPr/>
      <dgm:t>
        <a:bodyPr/>
        <a:lstStyle/>
        <a:p>
          <a:endParaRPr lang="en-US"/>
        </a:p>
      </dgm:t>
    </dgm:pt>
    <dgm:pt modelId="{510323C8-AF17-4DAF-B025-390FEDE1353A}" type="parTrans" cxnId="{48F131BC-CABF-4B4A-92E0-92CB2935F13F}">
      <dgm:prSet/>
      <dgm:spPr/>
      <dgm:t>
        <a:bodyPr/>
        <a:lstStyle/>
        <a:p>
          <a:endParaRPr lang="en-US"/>
        </a:p>
      </dgm:t>
    </dgm:pt>
    <dgm:pt modelId="{4123F875-B216-4B12-9BF8-63BF61A6A205}" type="pres">
      <dgm:prSet presAssocID="{7BC4F1E4-D3E5-4239-AAC8-9EA52D299FCB}" presName="Name0" presStyleCnt="0">
        <dgm:presLayoutVars>
          <dgm:dir/>
          <dgm:animLvl val="lvl"/>
          <dgm:resizeHandles val="exact"/>
        </dgm:presLayoutVars>
      </dgm:prSet>
      <dgm:spPr/>
    </dgm:pt>
    <dgm:pt modelId="{79BA8558-D859-48A8-9E0C-4C65E5FD0787}" type="pres">
      <dgm:prSet presAssocID="{AE866B66-E2A2-4631-A3C9-7CEC8632F182}" presName="parTxOnly" presStyleLbl="node1" presStyleIdx="0" presStyleCnt="3">
        <dgm:presLayoutVars>
          <dgm:chMax val="0"/>
          <dgm:chPref val="0"/>
          <dgm:bulletEnabled val="1"/>
        </dgm:presLayoutVars>
      </dgm:prSet>
      <dgm:spPr/>
    </dgm:pt>
    <dgm:pt modelId="{D2D9B30B-6935-45EA-95E3-C58825381C53}" type="pres">
      <dgm:prSet presAssocID="{836BAF56-E704-453F-BCF7-D9EAF6AA378F}" presName="parTxOnlySpace" presStyleCnt="0"/>
      <dgm:spPr/>
    </dgm:pt>
    <dgm:pt modelId="{190773B7-B90A-4383-91DB-64728CA819FF}" type="pres">
      <dgm:prSet presAssocID="{D5AE64F6-F729-4714-8ABF-85C07AE797F2}" presName="parTxOnly" presStyleLbl="node1" presStyleIdx="1" presStyleCnt="3">
        <dgm:presLayoutVars>
          <dgm:chMax val="0"/>
          <dgm:chPref val="0"/>
          <dgm:bulletEnabled val="1"/>
        </dgm:presLayoutVars>
      </dgm:prSet>
      <dgm:spPr/>
    </dgm:pt>
    <dgm:pt modelId="{E79248F8-B3F4-4416-8707-D241C17886F9}" type="pres">
      <dgm:prSet presAssocID="{9FDAE98C-6BAC-4E4A-B976-3C96253C0475}" presName="parTxOnlySpace" presStyleCnt="0"/>
      <dgm:spPr/>
    </dgm:pt>
    <dgm:pt modelId="{302F7B71-1746-4BBA-8EF1-BB8121A597CF}" type="pres">
      <dgm:prSet presAssocID="{C9BFD312-F26D-486F-BD15-432EA7C1CA0E}" presName="parTxOnly" presStyleLbl="node1" presStyleIdx="2" presStyleCnt="3">
        <dgm:presLayoutVars>
          <dgm:chMax val="0"/>
          <dgm:chPref val="0"/>
          <dgm:bulletEnabled val="1"/>
        </dgm:presLayoutVars>
      </dgm:prSet>
      <dgm:spPr/>
    </dgm:pt>
  </dgm:ptLst>
  <dgm:cxnLst>
    <dgm:cxn modelId="{8DE90928-09A4-47C6-BAAB-EEA82A815C32}" type="presOf" srcId="{C9BFD312-F26D-486F-BD15-432EA7C1CA0E}" destId="{302F7B71-1746-4BBA-8EF1-BB8121A597CF}" srcOrd="0" destOrd="0" presId="urn:microsoft.com/office/officeart/2005/8/layout/chevron1"/>
    <dgm:cxn modelId="{483C3432-932A-42D9-87E4-2137DD95468B}" type="presOf" srcId="{AE866B66-E2A2-4631-A3C9-7CEC8632F182}" destId="{79BA8558-D859-48A8-9E0C-4C65E5FD0787}" srcOrd="0" destOrd="0" presId="urn:microsoft.com/office/officeart/2005/8/layout/chevron1"/>
    <dgm:cxn modelId="{AEE18133-D9A1-4E77-A272-839FDE41181D}" type="presOf" srcId="{7BC4F1E4-D3E5-4239-AAC8-9EA52D299FCB}" destId="{4123F875-B216-4B12-9BF8-63BF61A6A205}" srcOrd="0" destOrd="0" presId="urn:microsoft.com/office/officeart/2005/8/layout/chevron1"/>
    <dgm:cxn modelId="{18127034-38BF-4639-985C-45ED37D21FE1}" srcId="{7BC4F1E4-D3E5-4239-AAC8-9EA52D299FCB}" destId="{AE866B66-E2A2-4631-A3C9-7CEC8632F182}" srcOrd="0" destOrd="0" parTransId="{717D828D-FB69-45E5-9DC5-35F03FF110B8}" sibTransId="{836BAF56-E704-453F-BCF7-D9EAF6AA378F}"/>
    <dgm:cxn modelId="{D5299B6B-FFFB-4B9E-808C-BE1C3EC7CE1A}" srcId="{7BC4F1E4-D3E5-4239-AAC8-9EA52D299FCB}" destId="{C9BFD312-F26D-486F-BD15-432EA7C1CA0E}" srcOrd="2" destOrd="0" parTransId="{613C5E5A-8767-496A-A7AE-1C5FBC0A41C2}" sibTransId="{C6ED5C58-DC5D-4926-B68F-73F43A1FE7FA}"/>
    <dgm:cxn modelId="{90E4A58F-871F-4677-910A-C8F06E61975B}" type="presOf" srcId="{D5AE64F6-F729-4714-8ABF-85C07AE797F2}" destId="{190773B7-B90A-4383-91DB-64728CA819FF}" srcOrd="0" destOrd="0" presId="urn:microsoft.com/office/officeart/2005/8/layout/chevron1"/>
    <dgm:cxn modelId="{48F131BC-CABF-4B4A-92E0-92CB2935F13F}" srcId="{7BC4F1E4-D3E5-4239-AAC8-9EA52D299FCB}" destId="{D5AE64F6-F729-4714-8ABF-85C07AE797F2}" srcOrd="1" destOrd="0" parTransId="{510323C8-AF17-4DAF-B025-390FEDE1353A}" sibTransId="{9FDAE98C-6BAC-4E4A-B976-3C96253C0475}"/>
    <dgm:cxn modelId="{E3F8B0EF-6671-45C4-8209-096B1EA63576}" type="presParOf" srcId="{4123F875-B216-4B12-9BF8-63BF61A6A205}" destId="{79BA8558-D859-48A8-9E0C-4C65E5FD0787}" srcOrd="0" destOrd="0" presId="urn:microsoft.com/office/officeart/2005/8/layout/chevron1"/>
    <dgm:cxn modelId="{86B52347-21D6-4A11-8608-9B73ADA627E4}" type="presParOf" srcId="{4123F875-B216-4B12-9BF8-63BF61A6A205}" destId="{D2D9B30B-6935-45EA-95E3-C58825381C53}" srcOrd="1" destOrd="0" presId="urn:microsoft.com/office/officeart/2005/8/layout/chevron1"/>
    <dgm:cxn modelId="{8EF9E485-994C-4EAF-A0B8-3EB0674D5D56}" type="presParOf" srcId="{4123F875-B216-4B12-9BF8-63BF61A6A205}" destId="{190773B7-B90A-4383-91DB-64728CA819FF}" srcOrd="2" destOrd="0" presId="urn:microsoft.com/office/officeart/2005/8/layout/chevron1"/>
    <dgm:cxn modelId="{A3DA1306-75BC-477A-A0CC-BCA01B66085C}" type="presParOf" srcId="{4123F875-B216-4B12-9BF8-63BF61A6A205}" destId="{E79248F8-B3F4-4416-8707-D241C17886F9}" srcOrd="3" destOrd="0" presId="urn:microsoft.com/office/officeart/2005/8/layout/chevron1"/>
    <dgm:cxn modelId="{C992DC09-FEC3-4ED3-BA40-A465B5CDA9D7}" type="presParOf" srcId="{4123F875-B216-4B12-9BF8-63BF61A6A205}" destId="{302F7B71-1746-4BBA-8EF1-BB8121A597CF}" srcOrd="4" destOrd="0" presId="urn:microsoft.com/office/officeart/2005/8/layout/chevron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5DC42D-8CDD-4C37-9D0B-E7EC4E7395F6}">
      <dsp:nvSpPr>
        <dsp:cNvPr id="0" name=""/>
        <dsp:cNvSpPr/>
      </dsp:nvSpPr>
      <dsp:spPr>
        <a:xfrm>
          <a:off x="1101705" y="-3667"/>
          <a:ext cx="2625764" cy="2625764"/>
        </a:xfrm>
        <a:prstGeom prst="circularArrow">
          <a:avLst>
            <a:gd name="adj1" fmla="val 5274"/>
            <a:gd name="adj2" fmla="val 312630"/>
            <a:gd name="adj3" fmla="val 14300240"/>
            <a:gd name="adj4" fmla="val 17084945"/>
            <a:gd name="adj5" fmla="val 547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D5BD923-6286-4922-B3C2-048082BE9C55}">
      <dsp:nvSpPr>
        <dsp:cNvPr id="0" name=""/>
        <dsp:cNvSpPr/>
      </dsp:nvSpPr>
      <dsp:spPr>
        <a:xfrm>
          <a:off x="1935914" y="369"/>
          <a:ext cx="957346" cy="47867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Vocabulary exposure</a:t>
          </a:r>
        </a:p>
      </dsp:txBody>
      <dsp:txXfrm>
        <a:off x="1959281" y="23736"/>
        <a:ext cx="910612" cy="431939"/>
      </dsp:txXfrm>
    </dsp:sp>
    <dsp:sp modelId="{DBB969BD-FF66-45EC-8532-583C26C03F28}">
      <dsp:nvSpPr>
        <dsp:cNvPr id="0" name=""/>
        <dsp:cNvSpPr/>
      </dsp:nvSpPr>
      <dsp:spPr>
        <a:xfrm>
          <a:off x="2858421" y="532979"/>
          <a:ext cx="957346" cy="47867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retrieval attempt</a:t>
          </a:r>
        </a:p>
      </dsp:txBody>
      <dsp:txXfrm>
        <a:off x="2881788" y="556346"/>
        <a:ext cx="910612" cy="431939"/>
      </dsp:txXfrm>
    </dsp:sp>
    <dsp:sp modelId="{6CB066FB-3D3A-4551-A613-2A0E8F516D91}">
      <dsp:nvSpPr>
        <dsp:cNvPr id="0" name=""/>
        <dsp:cNvSpPr/>
      </dsp:nvSpPr>
      <dsp:spPr>
        <a:xfrm>
          <a:off x="2858421" y="1598197"/>
          <a:ext cx="957346" cy="47867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feedback</a:t>
          </a:r>
        </a:p>
      </dsp:txBody>
      <dsp:txXfrm>
        <a:off x="2881788" y="1621564"/>
        <a:ext cx="910612" cy="431939"/>
      </dsp:txXfrm>
    </dsp:sp>
    <dsp:sp modelId="{857FA26E-C1BA-452A-9462-0C01BE96C312}">
      <dsp:nvSpPr>
        <dsp:cNvPr id="0" name=""/>
        <dsp:cNvSpPr/>
      </dsp:nvSpPr>
      <dsp:spPr>
        <a:xfrm>
          <a:off x="1935914" y="2130807"/>
          <a:ext cx="957346" cy="47867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correction</a:t>
          </a:r>
        </a:p>
      </dsp:txBody>
      <dsp:txXfrm>
        <a:off x="1959281" y="2154174"/>
        <a:ext cx="910612" cy="431939"/>
      </dsp:txXfrm>
    </dsp:sp>
    <dsp:sp modelId="{C6D8A6A6-C8C0-4847-B30A-01EB088C41E9}">
      <dsp:nvSpPr>
        <dsp:cNvPr id="0" name=""/>
        <dsp:cNvSpPr/>
      </dsp:nvSpPr>
      <dsp:spPr>
        <a:xfrm>
          <a:off x="1013407" y="1598197"/>
          <a:ext cx="957346" cy="47867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repeated practice</a:t>
          </a:r>
        </a:p>
      </dsp:txBody>
      <dsp:txXfrm>
        <a:off x="1036774" y="1621564"/>
        <a:ext cx="910612" cy="431939"/>
      </dsp:txXfrm>
    </dsp:sp>
    <dsp:sp modelId="{1BC0633A-7DC1-4F3E-83B3-33BF5BE656C6}">
      <dsp:nvSpPr>
        <dsp:cNvPr id="0" name=""/>
        <dsp:cNvSpPr/>
      </dsp:nvSpPr>
      <dsp:spPr>
        <a:xfrm>
          <a:off x="1013407" y="532979"/>
          <a:ext cx="957346" cy="47867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reinforcement</a:t>
          </a:r>
        </a:p>
      </dsp:txBody>
      <dsp:txXfrm>
        <a:off x="1036774" y="556346"/>
        <a:ext cx="910612" cy="4319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BA8558-D859-48A8-9E0C-4C65E5FD0787}">
      <dsp:nvSpPr>
        <dsp:cNvPr id="0" name=""/>
        <dsp:cNvSpPr/>
      </dsp:nvSpPr>
      <dsp:spPr>
        <a:xfrm>
          <a:off x="957" y="0"/>
          <a:ext cx="1166582" cy="41592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0013" tIns="33338" rIns="33338" bIns="33338" numCol="1" spcCol="1270" anchor="ctr" anchorCtr="0">
          <a:noAutofit/>
        </a:bodyPr>
        <a:lstStyle/>
        <a:p>
          <a:pPr marL="0" lvl="0" indent="0" algn="ctr" defTabSz="1111250">
            <a:lnSpc>
              <a:spcPct val="90000"/>
            </a:lnSpc>
            <a:spcBef>
              <a:spcPct val="0"/>
            </a:spcBef>
            <a:spcAft>
              <a:spcPct val="35000"/>
            </a:spcAft>
            <a:buNone/>
          </a:pPr>
          <a:r>
            <a:rPr lang="en-US" sz="2500" kern="1200"/>
            <a:t>O</a:t>
          </a:r>
          <a:r>
            <a:rPr lang="en-US" sz="2500" kern="1200" baseline="-25000"/>
            <a:t>1</a:t>
          </a:r>
        </a:p>
      </dsp:txBody>
      <dsp:txXfrm>
        <a:off x="208920" y="0"/>
        <a:ext cx="750657" cy="415925"/>
      </dsp:txXfrm>
    </dsp:sp>
    <dsp:sp modelId="{190773B7-B90A-4383-91DB-64728CA819FF}">
      <dsp:nvSpPr>
        <dsp:cNvPr id="0" name=""/>
        <dsp:cNvSpPr/>
      </dsp:nvSpPr>
      <dsp:spPr>
        <a:xfrm>
          <a:off x="1050881" y="0"/>
          <a:ext cx="1166582" cy="41592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0013" tIns="33338" rIns="33338" bIns="33338" numCol="1" spcCol="1270" anchor="ctr" anchorCtr="0">
          <a:noAutofit/>
        </a:bodyPr>
        <a:lstStyle/>
        <a:p>
          <a:pPr marL="0" lvl="0" indent="0" algn="ctr" defTabSz="1111250">
            <a:lnSpc>
              <a:spcPct val="90000"/>
            </a:lnSpc>
            <a:spcBef>
              <a:spcPct val="0"/>
            </a:spcBef>
            <a:spcAft>
              <a:spcPct val="35000"/>
            </a:spcAft>
            <a:buNone/>
          </a:pPr>
          <a:r>
            <a:rPr lang="en-US" sz="2500" kern="1200"/>
            <a:t>x</a:t>
          </a:r>
        </a:p>
      </dsp:txBody>
      <dsp:txXfrm>
        <a:off x="1258844" y="0"/>
        <a:ext cx="750657" cy="415925"/>
      </dsp:txXfrm>
    </dsp:sp>
    <dsp:sp modelId="{302F7B71-1746-4BBA-8EF1-BB8121A597CF}">
      <dsp:nvSpPr>
        <dsp:cNvPr id="0" name=""/>
        <dsp:cNvSpPr/>
      </dsp:nvSpPr>
      <dsp:spPr>
        <a:xfrm>
          <a:off x="2100805" y="0"/>
          <a:ext cx="1166582" cy="41592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0013" tIns="33338" rIns="33338" bIns="33338" numCol="1" spcCol="1270" anchor="ctr" anchorCtr="0">
          <a:noAutofit/>
        </a:bodyPr>
        <a:lstStyle/>
        <a:p>
          <a:pPr marL="0" lvl="0" indent="0" algn="ctr" defTabSz="1111250">
            <a:lnSpc>
              <a:spcPct val="90000"/>
            </a:lnSpc>
            <a:spcBef>
              <a:spcPct val="0"/>
            </a:spcBef>
            <a:spcAft>
              <a:spcPct val="35000"/>
            </a:spcAft>
            <a:buNone/>
          </a:pPr>
          <a:r>
            <a:rPr lang="en-US" sz="2500" kern="1200"/>
            <a:t>O</a:t>
          </a:r>
          <a:r>
            <a:rPr lang="en-US" sz="2500" kern="1200" baseline="-25000"/>
            <a:t>2</a:t>
          </a:r>
        </a:p>
      </dsp:txBody>
      <dsp:txXfrm>
        <a:off x="2308768" y="0"/>
        <a:ext cx="750657" cy="41592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6730</Words>
  <Characters>38367</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Reviewer</cp:lastModifiedBy>
  <cp:revision>2</cp:revision>
  <dcterms:created xsi:type="dcterms:W3CDTF">2026-09-29T07:03:00Z</dcterms:created>
  <dcterms:modified xsi:type="dcterms:W3CDTF">2026-09-29T07:03:00Z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1965d986-a7d0-433e-b1aa-6b280d09a5a7</vt:lpwstr>
  </property>
</Properties>
</file>